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534825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Asset </w:t>
      </w:r>
      <w:r w:rsidR="000E7329">
        <w:rPr>
          <w:rFonts w:cstheme="minorHAnsi"/>
          <w:b/>
          <w:bCs/>
          <w:color w:val="000000"/>
        </w:rPr>
        <w:t xml:space="preserve">Management </w:t>
      </w:r>
      <w:r w:rsidR="000E7329" w:rsidRPr="00F26424">
        <w:rPr>
          <w:rFonts w:cstheme="minorHAnsi"/>
          <w:b/>
          <w:bCs/>
          <w:color w:val="000000"/>
        </w:rPr>
        <w:t>Policy</w:t>
      </w:r>
      <w:r w:rsidR="000473EF" w:rsidRPr="00F26424">
        <w:rPr>
          <w:rFonts w:cstheme="minorHAnsi"/>
          <w:b/>
          <w:bCs/>
          <w:color w:val="000000"/>
        </w:rPr>
        <w:t xml:space="preserve"> 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 xml:space="preserve">team of the </w:t>
      </w:r>
      <w:r w:rsidR="00796EF5" w:rsidRPr="000D27F4">
        <w:rPr>
          <w:rFonts w:cstheme="minorHAnsi"/>
          <w:color w:val="000000"/>
        </w:rPr>
        <w:t>(</w:t>
      </w:r>
      <w:r w:rsidR="000473EF" w:rsidRPr="000D27F4">
        <w:rPr>
          <w:rFonts w:cstheme="minorHAnsi"/>
          <w:color w:val="000000"/>
        </w:rPr>
        <w:t>SC State Agency)</w:t>
      </w:r>
      <w:r w:rsidR="000D27F4">
        <w:rPr>
          <w:rFonts w:cstheme="minorHAnsi"/>
          <w:color w:val="000000"/>
        </w:rPr>
        <w:t xml:space="preserve">. </w:t>
      </w:r>
      <w:r w:rsidRPr="00F26424">
        <w:rPr>
          <w:rFonts w:cstheme="minorHAnsi"/>
          <w:color w:val="000000"/>
        </w:rPr>
        <w:t xml:space="preserve">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Agency’s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AC1967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C1967" w:rsidRPr="00F26424" w:rsidTr="00AC1967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The policy has been socialized across the Agency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across-Agency?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AE2307" w:rsidRDefault="00AC1967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AE2307" w:rsidRDefault="00AC1967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AE2307" w:rsidRDefault="00AC1967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55FE7" w:rsidRPr="00F26424" w:rsidTr="006C18FB">
        <w:trPr>
          <w:trHeight w:val="620"/>
        </w:trPr>
        <w:tc>
          <w:tcPr>
            <w:tcW w:w="1526" w:type="pct"/>
            <w:vMerge w:val="restart"/>
          </w:tcPr>
          <w:p w:rsidR="00955FE7" w:rsidRPr="00EF72DF" w:rsidRDefault="00955FE7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Documented Asset Management Policy.</w:t>
            </w:r>
          </w:p>
        </w:tc>
        <w:tc>
          <w:tcPr>
            <w:tcW w:w="1496" w:type="pct"/>
          </w:tcPr>
          <w:p w:rsidR="00955FE7" w:rsidRDefault="00955FE7" w:rsidP="00EF72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have a documented Asset Management Policy?</w:t>
            </w:r>
          </w:p>
        </w:tc>
        <w:tc>
          <w:tcPr>
            <w:tcW w:w="293" w:type="pct"/>
          </w:tcPr>
          <w:p w:rsidR="00955FE7" w:rsidRPr="005925C6" w:rsidRDefault="00955FE7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55FE7" w:rsidRPr="00122FAF" w:rsidRDefault="00955FE7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55FE7" w:rsidRPr="00122FAF" w:rsidRDefault="00955FE7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955FE7" w:rsidRPr="00F26424" w:rsidTr="00EF72DF">
        <w:trPr>
          <w:trHeight w:val="332"/>
        </w:trPr>
        <w:tc>
          <w:tcPr>
            <w:tcW w:w="1526" w:type="pct"/>
            <w:vMerge/>
          </w:tcPr>
          <w:p w:rsidR="00955FE7" w:rsidRDefault="00955FE7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955FE7" w:rsidRDefault="00955FE7" w:rsidP="00EF72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 the policy aligned with the State of South Carolina Asset Management Policy?</w:t>
            </w:r>
          </w:p>
        </w:tc>
        <w:tc>
          <w:tcPr>
            <w:tcW w:w="293" w:type="pct"/>
          </w:tcPr>
          <w:p w:rsidR="00955FE7" w:rsidRPr="005925C6" w:rsidRDefault="00955FE7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955FE7" w:rsidRPr="00122FAF" w:rsidRDefault="00955FE7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955FE7" w:rsidRPr="00122FAF" w:rsidRDefault="00955FE7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39E5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A239E5" w:rsidRDefault="00A239E5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Implemented Asset Management Policy and associated processes </w:t>
            </w:r>
          </w:p>
        </w:tc>
        <w:tc>
          <w:tcPr>
            <w:tcW w:w="1496" w:type="pct"/>
          </w:tcPr>
          <w:p w:rsidR="00A239E5" w:rsidRDefault="00A239E5" w:rsidP="00EF72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Have you implemented an Asset Management Policy?</w:t>
            </w:r>
          </w:p>
        </w:tc>
        <w:tc>
          <w:tcPr>
            <w:tcW w:w="293" w:type="pct"/>
          </w:tcPr>
          <w:p w:rsidR="00A239E5" w:rsidRPr="005925C6" w:rsidRDefault="00A239E5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A239E5" w:rsidRPr="00122FAF" w:rsidRDefault="00A239E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A239E5" w:rsidRPr="00122FAF" w:rsidRDefault="00A239E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A239E5" w:rsidRPr="00F26424" w:rsidTr="00EF72DF">
        <w:trPr>
          <w:trHeight w:val="332"/>
        </w:trPr>
        <w:tc>
          <w:tcPr>
            <w:tcW w:w="1526" w:type="pct"/>
            <w:vMerge/>
          </w:tcPr>
          <w:p w:rsidR="00A239E5" w:rsidRDefault="00A239E5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A239E5" w:rsidRDefault="00A239E5" w:rsidP="00872D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 you have asset management processe</w:t>
            </w:r>
            <w:r w:rsidR="00DE5149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 xml:space="preserve"> implemented in your Agency?  </w:t>
            </w:r>
            <w:r w:rsidR="009B3880">
              <w:rPr>
                <w:rFonts w:cstheme="minorHAnsi"/>
                <w:color w:val="000000"/>
              </w:rPr>
              <w:t xml:space="preserve">(i.e. asset inventory creation and review, </w:t>
            </w:r>
            <w:r w:rsidR="00872D18">
              <w:rPr>
                <w:rFonts w:cstheme="minorHAnsi"/>
                <w:color w:val="000000"/>
              </w:rPr>
              <w:t>asset registration, asset classification, user provisioning, etc.)</w:t>
            </w:r>
          </w:p>
        </w:tc>
        <w:tc>
          <w:tcPr>
            <w:tcW w:w="293" w:type="pct"/>
          </w:tcPr>
          <w:p w:rsidR="00A239E5" w:rsidRPr="005925C6" w:rsidRDefault="00A239E5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A239E5" w:rsidRPr="00122FAF" w:rsidRDefault="00A239E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A239E5" w:rsidRPr="00122FAF" w:rsidRDefault="00A239E5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B0223" w:rsidRPr="00F26424" w:rsidTr="00EF72DF">
        <w:trPr>
          <w:trHeight w:val="332"/>
        </w:trPr>
        <w:tc>
          <w:tcPr>
            <w:tcW w:w="1526" w:type="pct"/>
            <w:vMerge w:val="restart"/>
          </w:tcPr>
          <w:p w:rsidR="001B0223" w:rsidRPr="00EF72DF" w:rsidRDefault="001B0223" w:rsidP="00EF72DF">
            <w:pPr>
              <w:spacing w:before="60" w:after="60" w:line="240" w:lineRule="auto"/>
              <w:rPr>
                <w:rFonts w:eastAsia="Calibri" w:cstheme="minorHAnsi"/>
              </w:rPr>
            </w:pPr>
            <w:r w:rsidRPr="00EF72DF">
              <w:rPr>
                <w:rFonts w:eastAsia="Calibri" w:cstheme="minorHAnsi"/>
              </w:rPr>
              <w:t xml:space="preserve">Document and maintain asset inventory for critical IT assets. </w:t>
            </w:r>
          </w:p>
        </w:tc>
        <w:tc>
          <w:tcPr>
            <w:tcW w:w="1496" w:type="pct"/>
          </w:tcPr>
          <w:p w:rsidR="001B0223" w:rsidRDefault="001B0223" w:rsidP="00EF72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Have you identified asset owners?  </w:t>
            </w:r>
          </w:p>
        </w:tc>
        <w:tc>
          <w:tcPr>
            <w:tcW w:w="293" w:type="pct"/>
          </w:tcPr>
          <w:p w:rsidR="001B0223" w:rsidRPr="005925C6" w:rsidRDefault="001B0223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B0223" w:rsidRPr="00122FAF" w:rsidRDefault="001B022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B0223" w:rsidRPr="00122FAF" w:rsidRDefault="001B022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B0223" w:rsidRPr="00F26424" w:rsidTr="00EF72DF">
        <w:trPr>
          <w:trHeight w:val="332"/>
        </w:trPr>
        <w:tc>
          <w:tcPr>
            <w:tcW w:w="1526" w:type="pct"/>
            <w:vMerge/>
          </w:tcPr>
          <w:p w:rsidR="001B0223" w:rsidRPr="00EF72DF" w:rsidRDefault="001B0223" w:rsidP="00EF72DF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96" w:type="pct"/>
          </w:tcPr>
          <w:p w:rsidR="001B0223" w:rsidRDefault="001B0223" w:rsidP="00EF72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your Agency have an asset inventory?</w:t>
            </w:r>
          </w:p>
        </w:tc>
        <w:tc>
          <w:tcPr>
            <w:tcW w:w="293" w:type="pct"/>
          </w:tcPr>
          <w:p w:rsidR="001B0223" w:rsidRPr="005925C6" w:rsidRDefault="001B0223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B0223" w:rsidRPr="00122FAF" w:rsidRDefault="001B022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B0223" w:rsidRPr="00122FAF" w:rsidRDefault="001B022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B0223" w:rsidRPr="00F26424" w:rsidTr="00004C0D">
        <w:trPr>
          <w:trHeight w:val="512"/>
        </w:trPr>
        <w:tc>
          <w:tcPr>
            <w:tcW w:w="1526" w:type="pct"/>
            <w:vMerge/>
          </w:tcPr>
          <w:p w:rsidR="001B0223" w:rsidRPr="00EF72DF" w:rsidRDefault="001B0223" w:rsidP="00EF72DF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1B0223" w:rsidRDefault="00872D18" w:rsidP="00872D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72D18">
              <w:rPr>
                <w:rFonts w:cstheme="minorHAnsi"/>
                <w:color w:val="000000"/>
              </w:rPr>
              <w:t>Ha</w:t>
            </w:r>
            <w:r>
              <w:rPr>
                <w:rFonts w:cstheme="minorHAnsi"/>
                <w:color w:val="000000"/>
              </w:rPr>
              <w:t>ve</w:t>
            </w:r>
            <w:r w:rsidRPr="00872D18">
              <w:rPr>
                <w:rFonts w:cstheme="minorHAnsi"/>
                <w:color w:val="000000"/>
              </w:rPr>
              <w:t xml:space="preserve"> critical assets been identified within your asset inventory?</w:t>
            </w:r>
          </w:p>
        </w:tc>
        <w:tc>
          <w:tcPr>
            <w:tcW w:w="293" w:type="pct"/>
          </w:tcPr>
          <w:p w:rsidR="001B0223" w:rsidRPr="005925C6" w:rsidRDefault="001B0223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B0223" w:rsidRPr="00122FAF" w:rsidRDefault="001B022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B0223" w:rsidRPr="00122FAF" w:rsidRDefault="001B0223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76070" w:rsidRPr="00F26424" w:rsidTr="00276070">
        <w:trPr>
          <w:trHeight w:val="485"/>
        </w:trPr>
        <w:tc>
          <w:tcPr>
            <w:tcW w:w="1526" w:type="pct"/>
            <w:vMerge w:val="restart"/>
          </w:tcPr>
          <w:p w:rsidR="00276070" w:rsidRPr="00EF72DF" w:rsidRDefault="00276070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  <w:r w:rsidRPr="00EF72DF">
              <w:rPr>
                <w:rFonts w:cstheme="minorHAnsi"/>
                <w:bCs/>
                <w:color w:val="000000"/>
              </w:rPr>
              <w:t>Asset inventory</w:t>
            </w:r>
            <w:r>
              <w:rPr>
                <w:rFonts w:cstheme="minorHAnsi"/>
                <w:bCs/>
                <w:color w:val="000000"/>
              </w:rPr>
              <w:t xml:space="preserve"> that is </w:t>
            </w:r>
            <w:r w:rsidRPr="00EF72DF">
              <w:rPr>
                <w:rFonts w:cstheme="minorHAnsi"/>
                <w:bCs/>
                <w:color w:val="000000"/>
              </w:rPr>
              <w:t>in</w:t>
            </w:r>
            <w:r>
              <w:rPr>
                <w:rFonts w:cstheme="minorHAnsi"/>
                <w:bCs/>
                <w:color w:val="000000"/>
              </w:rPr>
              <w:t>clusive of the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A63ED4">
              <w:rPr>
                <w:rFonts w:eastAsia="Calibri" w:cstheme="minorHAnsi"/>
              </w:rPr>
              <w:t>unique system name, a system/business owner, a data classification, and a description of the location of the asset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496" w:type="pct"/>
          </w:tcPr>
          <w:p w:rsidR="00276070" w:rsidRPr="00A63ED4" w:rsidRDefault="00276070" w:rsidP="00276070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 you have an asset management team?  </w:t>
            </w:r>
          </w:p>
        </w:tc>
        <w:tc>
          <w:tcPr>
            <w:tcW w:w="293" w:type="pct"/>
          </w:tcPr>
          <w:p w:rsidR="00276070" w:rsidRPr="005925C6" w:rsidRDefault="0027607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76070" w:rsidRPr="00F26424" w:rsidTr="00276070">
        <w:trPr>
          <w:trHeight w:val="485"/>
        </w:trPr>
        <w:tc>
          <w:tcPr>
            <w:tcW w:w="1526" w:type="pct"/>
            <w:vMerge/>
          </w:tcPr>
          <w:p w:rsidR="00276070" w:rsidRPr="00EF72DF" w:rsidRDefault="00276070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276070" w:rsidRDefault="00872D18" w:rsidP="00DA4F7C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Who assigns asset management </w:t>
            </w:r>
            <w:r w:rsidR="00DA4F7C">
              <w:rPr>
                <w:rFonts w:eastAsia="Calibri" w:cstheme="minorHAnsi"/>
              </w:rPr>
              <w:t xml:space="preserve">team’s </w:t>
            </w:r>
            <w:r w:rsidR="00276070">
              <w:rPr>
                <w:rFonts w:eastAsia="Calibri" w:cstheme="minorHAnsi"/>
              </w:rPr>
              <w:t>roles and responsibilities?</w:t>
            </w:r>
          </w:p>
        </w:tc>
        <w:tc>
          <w:tcPr>
            <w:tcW w:w="293" w:type="pct"/>
          </w:tcPr>
          <w:p w:rsidR="00276070" w:rsidRPr="005925C6" w:rsidRDefault="0027607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76070" w:rsidRPr="00F26424" w:rsidTr="00276070">
        <w:trPr>
          <w:trHeight w:val="485"/>
        </w:trPr>
        <w:tc>
          <w:tcPr>
            <w:tcW w:w="1526" w:type="pct"/>
            <w:vMerge/>
          </w:tcPr>
          <w:p w:rsidR="00276070" w:rsidRPr="00EF72DF" w:rsidRDefault="00276070" w:rsidP="00EF72DF">
            <w:pPr>
              <w:spacing w:before="60" w:after="60" w:line="240" w:lineRule="auto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496" w:type="pct"/>
          </w:tcPr>
          <w:p w:rsidR="00276070" w:rsidRDefault="00276070" w:rsidP="00A63ED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If you have an asset management team, what are the team’s roles and responsibilities?</w:t>
            </w:r>
          </w:p>
        </w:tc>
        <w:tc>
          <w:tcPr>
            <w:tcW w:w="293" w:type="pct"/>
          </w:tcPr>
          <w:p w:rsidR="00276070" w:rsidRPr="005925C6" w:rsidRDefault="0027607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76070" w:rsidRPr="00F26424" w:rsidTr="00C204F1">
        <w:trPr>
          <w:trHeight w:val="440"/>
        </w:trPr>
        <w:tc>
          <w:tcPr>
            <w:tcW w:w="1526" w:type="pct"/>
            <w:vMerge/>
          </w:tcPr>
          <w:p w:rsidR="00276070" w:rsidRPr="00EF72DF" w:rsidRDefault="00276070" w:rsidP="00EF72DF">
            <w:pPr>
              <w:spacing w:before="60" w:after="6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96" w:type="pct"/>
          </w:tcPr>
          <w:p w:rsidR="00276070" w:rsidRDefault="00276070" w:rsidP="00C204F1">
            <w:pPr>
              <w:spacing w:before="60" w:after="60" w:line="240" w:lineRule="auto"/>
              <w:rPr>
                <w:rFonts w:cstheme="minorHAnsi"/>
                <w:color w:val="000000"/>
              </w:rPr>
            </w:pPr>
            <w:r w:rsidRPr="00A63ED4">
              <w:rPr>
                <w:rFonts w:eastAsia="Calibri" w:cstheme="minorHAnsi"/>
              </w:rPr>
              <w:t xml:space="preserve">If you have an asset inventory, does it include a unique </w:t>
            </w:r>
            <w:r w:rsidRPr="00A63ED4">
              <w:rPr>
                <w:rFonts w:eastAsia="Calibri" w:cstheme="minorHAnsi"/>
              </w:rPr>
              <w:lastRenderedPageBreak/>
              <w:t xml:space="preserve">system name, a system/business owner, a data classification, and a description of the location of the asset?  </w:t>
            </w:r>
            <w:r w:rsidRPr="008A37B0">
              <w:rPr>
                <w:rFonts w:eastAsia="Calibri" w:cstheme="minorHAnsi"/>
                <w:i/>
              </w:rPr>
              <w:t>Examples of assets associated with information systems are (information/software/physical assets and services).</w:t>
            </w:r>
          </w:p>
        </w:tc>
        <w:tc>
          <w:tcPr>
            <w:tcW w:w="293" w:type="pct"/>
          </w:tcPr>
          <w:p w:rsidR="00276070" w:rsidRPr="005925C6" w:rsidRDefault="00276070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276070" w:rsidRDefault="00276070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EC1944">
        <w:trPr>
          <w:trHeight w:val="440"/>
        </w:trPr>
        <w:tc>
          <w:tcPr>
            <w:tcW w:w="1526" w:type="pct"/>
            <w:vMerge w:val="restart"/>
          </w:tcPr>
          <w:p w:rsidR="000A1F2B" w:rsidRPr="00FD3FAD" w:rsidRDefault="000A1F2B" w:rsidP="00FD3FAD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Access to </w:t>
            </w:r>
            <w:r w:rsidRPr="00FD3FAD">
              <w:rPr>
                <w:rFonts w:eastAsia="Calibri" w:cstheme="minorHAnsi"/>
              </w:rPr>
              <w:t>assets</w:t>
            </w:r>
            <w:r>
              <w:rPr>
                <w:rFonts w:eastAsia="Calibri" w:cstheme="minorHAnsi"/>
              </w:rPr>
              <w:t xml:space="preserve"> granted</w:t>
            </w:r>
            <w:r w:rsidRPr="00FD3FAD">
              <w:rPr>
                <w:rFonts w:eastAsia="Calibri" w:cstheme="minorHAnsi"/>
              </w:rPr>
              <w:t xml:space="preserve"> via a formal registration process that requires user acknowledgement of all rules and regulations pertinent to the asset.</w:t>
            </w:r>
          </w:p>
        </w:tc>
        <w:tc>
          <w:tcPr>
            <w:tcW w:w="1496" w:type="pct"/>
          </w:tcPr>
          <w:p w:rsidR="000A1F2B" w:rsidRPr="002914FD" w:rsidRDefault="000A1F2B" w:rsidP="001B0223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there controls in place to restrict access to asset inventory to approved individuals only?  (e.g., user credentials, user roles, etc.)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EC1944">
        <w:trPr>
          <w:trHeight w:val="440"/>
        </w:trPr>
        <w:tc>
          <w:tcPr>
            <w:tcW w:w="1526" w:type="pct"/>
            <w:vMerge/>
          </w:tcPr>
          <w:p w:rsidR="000A1F2B" w:rsidRDefault="000A1F2B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A1F2B" w:rsidRDefault="000A1F2B" w:rsidP="0021293F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Is access to asset inventory a documented process? 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EC1944">
        <w:trPr>
          <w:trHeight w:val="440"/>
        </w:trPr>
        <w:tc>
          <w:tcPr>
            <w:tcW w:w="1526" w:type="pct"/>
            <w:vMerge/>
          </w:tcPr>
          <w:p w:rsidR="000A1F2B" w:rsidRDefault="000A1F2B" w:rsidP="00FD3FAD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A1F2B" w:rsidRDefault="000A1F2B" w:rsidP="0021293F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 you require users to acknowledge rules and regulations pertinent to the asset?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C204F1">
        <w:trPr>
          <w:trHeight w:val="620"/>
        </w:trPr>
        <w:tc>
          <w:tcPr>
            <w:tcW w:w="1526" w:type="pct"/>
            <w:vMerge w:val="restart"/>
          </w:tcPr>
          <w:p w:rsidR="000A1F2B" w:rsidRDefault="000A1F2B" w:rsidP="00EC1944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Pr="005925C6">
              <w:rPr>
                <w:rFonts w:eastAsia="Calibri" w:cstheme="minorHAnsi"/>
              </w:rPr>
              <w:t>eriodically revalidate</w:t>
            </w:r>
            <w:r>
              <w:rPr>
                <w:rFonts w:eastAsia="Calibri" w:cstheme="minorHAnsi"/>
              </w:rPr>
              <w:t xml:space="preserve"> asset inventory</w:t>
            </w:r>
            <w:r w:rsidRPr="005925C6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to </w:t>
            </w:r>
            <w:r w:rsidRPr="005925C6">
              <w:rPr>
                <w:rFonts w:eastAsia="Calibri" w:cstheme="minorHAnsi"/>
              </w:rPr>
              <w:t xml:space="preserve">ensure </w:t>
            </w:r>
            <w:r>
              <w:rPr>
                <w:rFonts w:eastAsia="Calibri" w:cstheme="minorHAnsi"/>
              </w:rPr>
              <w:t>accurate classification.</w:t>
            </w:r>
          </w:p>
        </w:tc>
        <w:tc>
          <w:tcPr>
            <w:tcW w:w="1496" w:type="pct"/>
          </w:tcPr>
          <w:p w:rsidR="000A1F2B" w:rsidRDefault="000A1F2B" w:rsidP="003D1799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Is there a periodic review of the asset inventory performed to help ensure accuracy? 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9D5ECB">
        <w:trPr>
          <w:trHeight w:val="620"/>
        </w:trPr>
        <w:tc>
          <w:tcPr>
            <w:tcW w:w="1526" w:type="pct"/>
            <w:vMerge/>
          </w:tcPr>
          <w:p w:rsidR="000A1F2B" w:rsidRDefault="000A1F2B" w:rsidP="00EC194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A1F2B" w:rsidRDefault="000A1F2B" w:rsidP="00DE5149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responsibility for the periodic reviews been assigned to a specific role/ individual?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966F39">
        <w:trPr>
          <w:trHeight w:val="350"/>
        </w:trPr>
        <w:tc>
          <w:tcPr>
            <w:tcW w:w="1526" w:type="pct"/>
            <w:vMerge/>
          </w:tcPr>
          <w:p w:rsidR="000A1F2B" w:rsidRDefault="000A1F2B" w:rsidP="00EC1944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A1F2B" w:rsidRDefault="000A1F2B" w:rsidP="003D1799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 the asset inventory review process documented?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9D5ECB">
        <w:trPr>
          <w:trHeight w:val="620"/>
        </w:trPr>
        <w:tc>
          <w:tcPr>
            <w:tcW w:w="1526" w:type="pct"/>
          </w:tcPr>
          <w:p w:rsidR="000A1F2B" w:rsidRPr="005925C6" w:rsidRDefault="000A1F2B" w:rsidP="00FD3FAD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</w:t>
            </w:r>
            <w:r w:rsidRPr="00BF467A">
              <w:rPr>
                <w:rFonts w:eastAsia="Calibri" w:cstheme="minorHAnsi"/>
              </w:rPr>
              <w:t>stablish procedures to administer privileged user accounts in accordance with a role-based access model.</w:t>
            </w:r>
          </w:p>
        </w:tc>
        <w:tc>
          <w:tcPr>
            <w:tcW w:w="1496" w:type="pct"/>
          </w:tcPr>
          <w:p w:rsidR="000A1F2B" w:rsidRDefault="000A1F2B" w:rsidP="003D1799">
            <w:pPr>
              <w:tabs>
                <w:tab w:val="right" w:pos="208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Have you established procedures to administer privileged user accounts based on employees’ roles?</w:t>
            </w:r>
          </w:p>
        </w:tc>
        <w:tc>
          <w:tcPr>
            <w:tcW w:w="293" w:type="pct"/>
          </w:tcPr>
          <w:p w:rsidR="000A1F2B" w:rsidRPr="005925C6" w:rsidRDefault="000A1F2B" w:rsidP="005925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Default="000A1F2B" w:rsidP="00EF72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6C18FB" w:rsidRDefault="000A1F2B" w:rsidP="006C18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8A37B0">
        <w:trPr>
          <w:trHeight w:val="575"/>
        </w:trPr>
        <w:tc>
          <w:tcPr>
            <w:tcW w:w="1526" w:type="pct"/>
            <w:vMerge w:val="restart"/>
          </w:tcPr>
          <w:p w:rsidR="000A1F2B" w:rsidRPr="00D448F1" w:rsidRDefault="000A1F2B" w:rsidP="00D448F1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</w:t>
            </w:r>
            <w:r w:rsidRPr="00D448F1">
              <w:rPr>
                <w:rFonts w:eastAsia="Calibri" w:cstheme="minorHAnsi"/>
              </w:rPr>
              <w:t>lassify assets into the data classification types in the State of South Caro</w:t>
            </w:r>
            <w:r>
              <w:rPr>
                <w:rFonts w:eastAsia="Calibri" w:cstheme="minorHAnsi"/>
              </w:rPr>
              <w:t>lina Data Classification Schema.</w:t>
            </w:r>
          </w:p>
        </w:tc>
        <w:tc>
          <w:tcPr>
            <w:tcW w:w="1496" w:type="pct"/>
          </w:tcPr>
          <w:p w:rsidR="000A1F2B" w:rsidRPr="00D448F1" w:rsidRDefault="000A1F2B" w:rsidP="00D448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Are you familiar with the State of South Carolina Data Classification Schema?</w:t>
            </w:r>
          </w:p>
        </w:tc>
        <w:tc>
          <w:tcPr>
            <w:tcW w:w="293" w:type="pct"/>
          </w:tcPr>
          <w:p w:rsidR="000A1F2B" w:rsidRPr="00D448F1" w:rsidRDefault="000A1F2B" w:rsidP="00D448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8A37B0">
        <w:trPr>
          <w:trHeight w:val="566"/>
        </w:trPr>
        <w:tc>
          <w:tcPr>
            <w:tcW w:w="1526" w:type="pct"/>
            <w:vMerge/>
          </w:tcPr>
          <w:p w:rsidR="000A1F2B" w:rsidRDefault="000A1F2B" w:rsidP="00D448F1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A1F2B" w:rsidRDefault="000A1F2B" w:rsidP="00D448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a data classification schema been implemented at your agency?</w:t>
            </w:r>
          </w:p>
        </w:tc>
        <w:tc>
          <w:tcPr>
            <w:tcW w:w="293" w:type="pct"/>
          </w:tcPr>
          <w:p w:rsidR="000A1F2B" w:rsidRPr="00D448F1" w:rsidRDefault="000A1F2B" w:rsidP="00D448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AC1967">
        <w:trPr>
          <w:trHeight w:val="377"/>
        </w:trPr>
        <w:tc>
          <w:tcPr>
            <w:tcW w:w="1526" w:type="pct"/>
            <w:vMerge w:val="restart"/>
          </w:tcPr>
          <w:p w:rsidR="000A1F2B" w:rsidRDefault="000A1F2B" w:rsidP="00AC1967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Assets are</w:t>
            </w:r>
            <w:r w:rsidRPr="005925C6">
              <w:rPr>
                <w:rFonts w:eastAsia="Calibri" w:cstheme="minorHAnsi"/>
              </w:rPr>
              <w:t xml:space="preserve"> classified based on data classification type and impact level, and the appropriate level of information security safeguards are available and in place.</w:t>
            </w:r>
          </w:p>
        </w:tc>
        <w:tc>
          <w:tcPr>
            <w:tcW w:w="1496" w:type="pct"/>
          </w:tcPr>
          <w:p w:rsidR="000A1F2B" w:rsidRDefault="000A1F2B" w:rsidP="00D448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How do you classify asset data in the asset inventory?</w:t>
            </w:r>
          </w:p>
        </w:tc>
        <w:tc>
          <w:tcPr>
            <w:tcW w:w="293" w:type="pct"/>
          </w:tcPr>
          <w:p w:rsidR="000A1F2B" w:rsidRPr="00D448F1" w:rsidRDefault="000A1F2B" w:rsidP="00D448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A1F2B" w:rsidRPr="00F26424" w:rsidTr="00A26A0B">
        <w:trPr>
          <w:trHeight w:val="692"/>
        </w:trPr>
        <w:tc>
          <w:tcPr>
            <w:tcW w:w="1526" w:type="pct"/>
            <w:vMerge/>
          </w:tcPr>
          <w:p w:rsidR="000A1F2B" w:rsidRDefault="000A1F2B" w:rsidP="00AC1967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0A1F2B" w:rsidRDefault="000A1F2B" w:rsidP="00D448F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 the asset data classified based on type and impact levels in the asset inventory?</w:t>
            </w:r>
          </w:p>
        </w:tc>
        <w:tc>
          <w:tcPr>
            <w:tcW w:w="293" w:type="pct"/>
          </w:tcPr>
          <w:p w:rsidR="000A1F2B" w:rsidRPr="00D448F1" w:rsidRDefault="000A1F2B" w:rsidP="00D448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0A1F2B" w:rsidRPr="002914FD" w:rsidRDefault="000A1F2B" w:rsidP="00B16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>
      <w:pPr>
        <w:rPr>
          <w:rFonts w:cstheme="minorHAnsi"/>
        </w:rPr>
      </w:pPr>
    </w:p>
    <w:sectPr w:rsidR="00DA4F60" w:rsidRPr="00EE1150" w:rsidSect="000D27F4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7F" w:rsidRDefault="006B377F" w:rsidP="00A26A0B">
      <w:pPr>
        <w:spacing w:after="0" w:line="240" w:lineRule="auto"/>
      </w:pPr>
      <w:r>
        <w:separator/>
      </w:r>
    </w:p>
  </w:endnote>
  <w:endnote w:type="continuationSeparator" w:id="0">
    <w:p w:rsidR="006B377F" w:rsidRDefault="006B377F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Pr="00A26A0B" w:rsidRDefault="005924A9">
    <w:pPr>
      <w:pStyle w:val="Footer"/>
      <w:rPr>
        <w:b/>
        <w:i/>
        <w:color w:val="FF0000"/>
      </w:rPr>
    </w:pPr>
    <w:r>
      <w:t xml:space="preserve">InfoSec </w:t>
    </w:r>
    <w:r w:rsidR="00A26A0B">
      <w:t xml:space="preserve">Policy Guidance and Training </w:t>
    </w:r>
    <w:r w:rsidR="00A26A0B">
      <w:ptab w:relativeTo="margin" w:alignment="center" w:leader="none"/>
    </w:r>
    <w:r w:rsidR="00A26A0B">
      <w:t>Gap Analysis Worksheet</w:t>
    </w:r>
    <w:r w:rsidR="00A26A0B">
      <w:tab/>
    </w:r>
    <w:r w:rsidR="00A26A0B">
      <w:tab/>
    </w:r>
    <w:r w:rsidR="00A26A0B" w:rsidRPr="00A26A0B">
      <w:rPr>
        <w:b/>
        <w:i/>
        <w:color w:val="FF0000"/>
      </w:rPr>
      <w:ptab w:relativeTo="margin" w:alignment="right" w:leader="none"/>
    </w:r>
    <w:r w:rsidR="00A26A0B"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7F" w:rsidRDefault="006B377F" w:rsidP="00A26A0B">
      <w:pPr>
        <w:spacing w:after="0" w:line="240" w:lineRule="auto"/>
      </w:pPr>
      <w:r>
        <w:separator/>
      </w:r>
    </w:p>
  </w:footnote>
  <w:footnote w:type="continuationSeparator" w:id="0">
    <w:p w:rsidR="006B377F" w:rsidRDefault="006B377F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463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463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463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2611A"/>
    <w:rsid w:val="000473EF"/>
    <w:rsid w:val="000A1F2B"/>
    <w:rsid w:val="000D27F4"/>
    <w:rsid w:val="000E5580"/>
    <w:rsid w:val="000E5D5B"/>
    <w:rsid w:val="000E7329"/>
    <w:rsid w:val="001111D7"/>
    <w:rsid w:val="00122FAF"/>
    <w:rsid w:val="00153FDF"/>
    <w:rsid w:val="0016677B"/>
    <w:rsid w:val="00171C8F"/>
    <w:rsid w:val="001B0223"/>
    <w:rsid w:val="001B48C5"/>
    <w:rsid w:val="001C16A7"/>
    <w:rsid w:val="001E3C15"/>
    <w:rsid w:val="0021293F"/>
    <w:rsid w:val="0022004F"/>
    <w:rsid w:val="002673BF"/>
    <w:rsid w:val="00275219"/>
    <w:rsid w:val="00276070"/>
    <w:rsid w:val="00280A22"/>
    <w:rsid w:val="00281083"/>
    <w:rsid w:val="00282E80"/>
    <w:rsid w:val="00295E3E"/>
    <w:rsid w:val="002B660F"/>
    <w:rsid w:val="002B6D20"/>
    <w:rsid w:val="003348F3"/>
    <w:rsid w:val="00335431"/>
    <w:rsid w:val="003572DC"/>
    <w:rsid w:val="00367CB2"/>
    <w:rsid w:val="003934F5"/>
    <w:rsid w:val="003A1F7C"/>
    <w:rsid w:val="003B329A"/>
    <w:rsid w:val="003B33A3"/>
    <w:rsid w:val="003C5D14"/>
    <w:rsid w:val="003D23F8"/>
    <w:rsid w:val="003F5ED7"/>
    <w:rsid w:val="00463FD1"/>
    <w:rsid w:val="004672DB"/>
    <w:rsid w:val="004A5FB6"/>
    <w:rsid w:val="004D1194"/>
    <w:rsid w:val="004E2C80"/>
    <w:rsid w:val="0053058E"/>
    <w:rsid w:val="00534825"/>
    <w:rsid w:val="00544DA7"/>
    <w:rsid w:val="005924A9"/>
    <w:rsid w:val="005925C6"/>
    <w:rsid w:val="00596AA7"/>
    <w:rsid w:val="005D1044"/>
    <w:rsid w:val="005E0A1E"/>
    <w:rsid w:val="005F33D5"/>
    <w:rsid w:val="005F7F82"/>
    <w:rsid w:val="006075EB"/>
    <w:rsid w:val="006914E3"/>
    <w:rsid w:val="006A56AA"/>
    <w:rsid w:val="006B377F"/>
    <w:rsid w:val="006C0FCA"/>
    <w:rsid w:val="006C18FB"/>
    <w:rsid w:val="006C5716"/>
    <w:rsid w:val="006D79C6"/>
    <w:rsid w:val="006E7608"/>
    <w:rsid w:val="007068CC"/>
    <w:rsid w:val="00723C38"/>
    <w:rsid w:val="00731A96"/>
    <w:rsid w:val="007351FA"/>
    <w:rsid w:val="00741305"/>
    <w:rsid w:val="00747A74"/>
    <w:rsid w:val="00785CA3"/>
    <w:rsid w:val="00796EF5"/>
    <w:rsid w:val="007F7501"/>
    <w:rsid w:val="00804279"/>
    <w:rsid w:val="00852623"/>
    <w:rsid w:val="00871C74"/>
    <w:rsid w:val="00872D18"/>
    <w:rsid w:val="00894BEB"/>
    <w:rsid w:val="008A37B0"/>
    <w:rsid w:val="008F1543"/>
    <w:rsid w:val="00934A9C"/>
    <w:rsid w:val="00943249"/>
    <w:rsid w:val="00950AA5"/>
    <w:rsid w:val="00955859"/>
    <w:rsid w:val="00955FE7"/>
    <w:rsid w:val="00966F39"/>
    <w:rsid w:val="009877F4"/>
    <w:rsid w:val="009B3880"/>
    <w:rsid w:val="009D5ECB"/>
    <w:rsid w:val="009E4F84"/>
    <w:rsid w:val="009F2BB9"/>
    <w:rsid w:val="00A02DFA"/>
    <w:rsid w:val="00A059DD"/>
    <w:rsid w:val="00A12A9B"/>
    <w:rsid w:val="00A239E5"/>
    <w:rsid w:val="00A2482D"/>
    <w:rsid w:val="00A24832"/>
    <w:rsid w:val="00A26A0B"/>
    <w:rsid w:val="00A63ED4"/>
    <w:rsid w:val="00A706B2"/>
    <w:rsid w:val="00A97595"/>
    <w:rsid w:val="00AA1055"/>
    <w:rsid w:val="00AC1967"/>
    <w:rsid w:val="00AD1D26"/>
    <w:rsid w:val="00AD7F19"/>
    <w:rsid w:val="00AE2307"/>
    <w:rsid w:val="00B248D0"/>
    <w:rsid w:val="00B356D3"/>
    <w:rsid w:val="00B43D5D"/>
    <w:rsid w:val="00B92821"/>
    <w:rsid w:val="00BB6789"/>
    <w:rsid w:val="00BC32C8"/>
    <w:rsid w:val="00BD1800"/>
    <w:rsid w:val="00BD3BF4"/>
    <w:rsid w:val="00BF467A"/>
    <w:rsid w:val="00C10138"/>
    <w:rsid w:val="00C17A1D"/>
    <w:rsid w:val="00C204F1"/>
    <w:rsid w:val="00C34AF5"/>
    <w:rsid w:val="00C42F65"/>
    <w:rsid w:val="00C6599F"/>
    <w:rsid w:val="00C91A0C"/>
    <w:rsid w:val="00C939B8"/>
    <w:rsid w:val="00CC5219"/>
    <w:rsid w:val="00D153BC"/>
    <w:rsid w:val="00D448F1"/>
    <w:rsid w:val="00D501A3"/>
    <w:rsid w:val="00D520D1"/>
    <w:rsid w:val="00D60A23"/>
    <w:rsid w:val="00D742CE"/>
    <w:rsid w:val="00D764CA"/>
    <w:rsid w:val="00D8105E"/>
    <w:rsid w:val="00D90575"/>
    <w:rsid w:val="00DA4F60"/>
    <w:rsid w:val="00DA4F7C"/>
    <w:rsid w:val="00DE5149"/>
    <w:rsid w:val="00E16373"/>
    <w:rsid w:val="00E44ABA"/>
    <w:rsid w:val="00E478C5"/>
    <w:rsid w:val="00E94102"/>
    <w:rsid w:val="00EC1944"/>
    <w:rsid w:val="00ED52EF"/>
    <w:rsid w:val="00EE1150"/>
    <w:rsid w:val="00EF72DF"/>
    <w:rsid w:val="00F23B45"/>
    <w:rsid w:val="00F26424"/>
    <w:rsid w:val="00F313FC"/>
    <w:rsid w:val="00F323A9"/>
    <w:rsid w:val="00F51906"/>
    <w:rsid w:val="00F64D3D"/>
    <w:rsid w:val="00F856CE"/>
    <w:rsid w:val="00FA509D"/>
    <w:rsid w:val="00FD3FAD"/>
    <w:rsid w:val="00FE00FD"/>
    <w:rsid w:val="00FE1DA0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2B3B-4FC5-4288-87A0-0D0BFF26F08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538146-A53B-44E8-9169-5E7D2E4C1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4DDD2-7355-48F2-8F7B-7061B7F9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D7A950-A692-4456-AB82-3E6667B5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- Asset Management Policy</vt:lpstr>
    </vt:vector>
  </TitlesOfParts>
  <Company>Deloitte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- Asset Management Policy</dc:title>
  <dc:creator>Lukic, Natasa</dc:creator>
  <cp:lastModifiedBy>Shelton, Michael</cp:lastModifiedBy>
  <cp:revision>2</cp:revision>
  <dcterms:created xsi:type="dcterms:W3CDTF">2015-06-05T20:00:00Z</dcterms:created>
  <dcterms:modified xsi:type="dcterms:W3CDTF">2015-06-05T20:00:00Z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