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8F" w:rsidRPr="00F26424" w:rsidRDefault="000473EF" w:rsidP="000473EF">
      <w:pPr>
        <w:autoSpaceDE w:val="0"/>
        <w:autoSpaceDN w:val="0"/>
        <w:adjustRightInd w:val="0"/>
        <w:spacing w:after="0" w:line="240" w:lineRule="auto"/>
        <w:jc w:val="center"/>
        <w:rPr>
          <w:rFonts w:cstheme="minorHAnsi"/>
          <w:b/>
          <w:bCs/>
          <w:color w:val="000000"/>
        </w:rPr>
      </w:pPr>
      <w:bookmarkStart w:id="0" w:name="_GoBack"/>
      <w:bookmarkEnd w:id="0"/>
      <w:r w:rsidRPr="002914FD">
        <w:rPr>
          <w:rFonts w:cstheme="minorHAnsi"/>
          <w:b/>
          <w:bCs/>
          <w:color w:val="000000"/>
        </w:rPr>
        <w:t>Gap Analysis to Su</w:t>
      </w:r>
      <w:r w:rsidRPr="00F26424">
        <w:rPr>
          <w:rFonts w:cstheme="minorHAnsi"/>
          <w:b/>
          <w:bCs/>
          <w:color w:val="000000"/>
        </w:rPr>
        <w:t xml:space="preserve">pport the Implementation of the South Carolina </w:t>
      </w:r>
    </w:p>
    <w:p w:rsidR="000473EF" w:rsidRPr="00F26424" w:rsidRDefault="00893118" w:rsidP="000473EF">
      <w:pPr>
        <w:autoSpaceDE w:val="0"/>
        <w:autoSpaceDN w:val="0"/>
        <w:adjustRightInd w:val="0"/>
        <w:spacing w:after="0" w:line="240" w:lineRule="auto"/>
        <w:jc w:val="center"/>
        <w:rPr>
          <w:rFonts w:cstheme="minorHAnsi"/>
          <w:b/>
          <w:bCs/>
          <w:color w:val="000000"/>
        </w:rPr>
      </w:pPr>
      <w:r>
        <w:rPr>
          <w:rFonts w:cstheme="minorHAnsi"/>
          <w:b/>
          <w:bCs/>
          <w:color w:val="000000"/>
        </w:rPr>
        <w:t>Risk Management</w:t>
      </w:r>
      <w:r w:rsidR="00185D52">
        <w:rPr>
          <w:rFonts w:cstheme="minorHAnsi"/>
          <w:b/>
          <w:bCs/>
          <w:color w:val="000000"/>
        </w:rPr>
        <w:t xml:space="preserve"> </w:t>
      </w:r>
      <w:r w:rsidR="000E7329" w:rsidRPr="00F26424">
        <w:rPr>
          <w:rFonts w:cstheme="minorHAnsi"/>
          <w:b/>
          <w:bCs/>
          <w:color w:val="000000"/>
        </w:rPr>
        <w:t>Policy</w:t>
      </w:r>
    </w:p>
    <w:p w:rsidR="000473EF" w:rsidRPr="002914FD" w:rsidRDefault="000473EF" w:rsidP="000473EF">
      <w:pPr>
        <w:autoSpaceDE w:val="0"/>
        <w:autoSpaceDN w:val="0"/>
        <w:adjustRightInd w:val="0"/>
        <w:spacing w:after="0" w:line="240" w:lineRule="auto"/>
        <w:jc w:val="center"/>
        <w:rPr>
          <w:rFonts w:cstheme="minorHAnsi"/>
          <w:color w:val="000000"/>
        </w:rPr>
      </w:pPr>
    </w:p>
    <w:p w:rsidR="000473EF" w:rsidRDefault="006E7608" w:rsidP="000473EF">
      <w:pPr>
        <w:autoSpaceDE w:val="0"/>
        <w:autoSpaceDN w:val="0"/>
        <w:adjustRightInd w:val="0"/>
        <w:spacing w:after="0" w:line="240" w:lineRule="auto"/>
        <w:rPr>
          <w:rFonts w:cstheme="minorHAnsi"/>
          <w:color w:val="000000"/>
        </w:rPr>
      </w:pPr>
      <w:r w:rsidRPr="00F26424">
        <w:rPr>
          <w:rFonts w:cstheme="minorHAnsi"/>
          <w:color w:val="000000"/>
        </w:rPr>
        <w:t xml:space="preserve">The below Gap Analysis </w:t>
      </w:r>
      <w:r w:rsidR="00796EF5">
        <w:rPr>
          <w:rFonts w:cstheme="minorHAnsi"/>
          <w:color w:val="000000"/>
        </w:rPr>
        <w:t>is</w:t>
      </w:r>
      <w:r w:rsidRPr="00F26424">
        <w:rPr>
          <w:rFonts w:cstheme="minorHAnsi"/>
          <w:color w:val="000000"/>
        </w:rPr>
        <w:t xml:space="preserve"> developed based on the feedback provided</w:t>
      </w:r>
      <w:r w:rsidR="000473EF" w:rsidRPr="00F26424">
        <w:rPr>
          <w:rFonts w:cstheme="minorHAnsi"/>
          <w:color w:val="000000"/>
        </w:rPr>
        <w:t xml:space="preserve"> by the policy implementation </w:t>
      </w:r>
      <w:r w:rsidR="00796EF5">
        <w:rPr>
          <w:rFonts w:cstheme="minorHAnsi"/>
          <w:color w:val="000000"/>
        </w:rPr>
        <w:t>team of the (</w:t>
      </w:r>
      <w:r w:rsidR="000473EF" w:rsidRPr="00796EF5">
        <w:rPr>
          <w:rFonts w:cstheme="minorHAnsi"/>
          <w:color w:val="000000"/>
          <w:highlight w:val="yellow"/>
        </w:rPr>
        <w:t>SC State Agency</w:t>
      </w:r>
      <w:r w:rsidR="000473EF" w:rsidRPr="00F26424">
        <w:rPr>
          <w:rFonts w:cstheme="minorHAnsi"/>
          <w:color w:val="000000"/>
        </w:rPr>
        <w:t>)</w:t>
      </w:r>
      <w:r w:rsidRPr="00F26424">
        <w:rPr>
          <w:rFonts w:cstheme="minorHAnsi"/>
          <w:color w:val="000000"/>
        </w:rPr>
        <w:t xml:space="preserve">.   The </w:t>
      </w:r>
      <w:r w:rsidR="000473EF" w:rsidRPr="00F26424">
        <w:rPr>
          <w:rFonts w:cstheme="minorHAnsi"/>
          <w:color w:val="000000"/>
        </w:rPr>
        <w:t>table outlines the policy requirements</w:t>
      </w:r>
      <w:r w:rsidR="00955FE7">
        <w:rPr>
          <w:rFonts w:cstheme="minorHAnsi"/>
          <w:color w:val="000000"/>
        </w:rPr>
        <w:t xml:space="preserve"> (</w:t>
      </w:r>
      <w:r w:rsidR="003A1F7C">
        <w:rPr>
          <w:rFonts w:cstheme="minorHAnsi"/>
          <w:color w:val="000000"/>
        </w:rPr>
        <w:t>pro</w:t>
      </w:r>
      <w:r w:rsidR="00955FE7">
        <w:rPr>
          <w:rFonts w:cstheme="minorHAnsi"/>
          <w:color w:val="000000"/>
        </w:rPr>
        <w:t>cedures, standards and policies w</w:t>
      </w:r>
      <w:r w:rsidR="003A1F7C">
        <w:rPr>
          <w:rFonts w:cstheme="minorHAnsi"/>
          <w:color w:val="000000"/>
        </w:rPr>
        <w:t>hich may/may not be implemented)</w:t>
      </w:r>
      <w:r w:rsidR="00955FE7">
        <w:rPr>
          <w:rFonts w:cstheme="minorHAnsi"/>
          <w:color w:val="000000"/>
        </w:rPr>
        <w:t>, relevant questions to address and identify gaps in the</w:t>
      </w:r>
      <w:r w:rsidR="00796EF5">
        <w:rPr>
          <w:rFonts w:cstheme="minorHAnsi"/>
          <w:color w:val="000000"/>
        </w:rPr>
        <w:t xml:space="preserve"> Agency’s environment</w:t>
      </w:r>
      <w:r w:rsidR="003A1F7C">
        <w:rPr>
          <w:rFonts w:cstheme="minorHAnsi"/>
          <w:color w:val="000000"/>
        </w:rPr>
        <w:t xml:space="preserve">.  </w:t>
      </w:r>
    </w:p>
    <w:p w:rsidR="000473EF" w:rsidRPr="00F26424" w:rsidRDefault="000473EF" w:rsidP="000473EF">
      <w:pPr>
        <w:autoSpaceDE w:val="0"/>
        <w:autoSpaceDN w:val="0"/>
        <w:adjustRightInd w:val="0"/>
        <w:spacing w:after="0" w:line="240" w:lineRule="auto"/>
        <w:rPr>
          <w:rFonts w:cstheme="minorHAnsi"/>
          <w:color w:val="00000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9"/>
        <w:gridCol w:w="5400"/>
        <w:gridCol w:w="1058"/>
        <w:gridCol w:w="3447"/>
        <w:gridCol w:w="2635"/>
      </w:tblGrid>
      <w:tr w:rsidR="00AC1967" w:rsidRPr="00F26424" w:rsidTr="00AC1967">
        <w:trPr>
          <w:trHeight w:val="407"/>
        </w:trPr>
        <w:tc>
          <w:tcPr>
            <w:tcW w:w="1526" w:type="pct"/>
            <w:tcBorders>
              <w:bottom w:val="single" w:sz="4" w:space="0" w:color="auto"/>
            </w:tcBorders>
            <w:shd w:val="clear" w:color="auto" w:fill="000000" w:themeFill="text1"/>
          </w:tcPr>
          <w:p w:rsidR="006A56AA" w:rsidRPr="00796EF5" w:rsidRDefault="006A56AA" w:rsidP="00C10138">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Policy Requirement</w:t>
            </w:r>
          </w:p>
        </w:tc>
        <w:tc>
          <w:tcPr>
            <w:tcW w:w="1496" w:type="pct"/>
            <w:tcBorders>
              <w:bottom w:val="single" w:sz="4" w:space="0" w:color="auto"/>
            </w:tcBorders>
            <w:shd w:val="clear" w:color="auto" w:fill="000000" w:themeFill="text1"/>
          </w:tcPr>
          <w:p w:rsidR="006A56AA" w:rsidRDefault="00955FE7" w:rsidP="00C42F65">
            <w:pPr>
              <w:autoSpaceDE w:val="0"/>
              <w:autoSpaceDN w:val="0"/>
              <w:adjustRightInd w:val="0"/>
              <w:spacing w:after="0" w:line="240" w:lineRule="auto"/>
              <w:rPr>
                <w:rFonts w:cstheme="minorHAnsi"/>
                <w:color w:val="000000"/>
              </w:rPr>
            </w:pPr>
            <w:r w:rsidRPr="00A239E5">
              <w:rPr>
                <w:rFonts w:cstheme="minorHAnsi"/>
                <w:b/>
                <w:color w:val="FFFFFF" w:themeColor="background1"/>
              </w:rPr>
              <w:t>Questions</w:t>
            </w:r>
            <w:r w:rsidR="006A56AA">
              <w:rPr>
                <w:rFonts w:cstheme="minorHAnsi"/>
                <w:color w:val="000000"/>
              </w:rPr>
              <w:t xml:space="preserve"> asset inventory?</w:t>
            </w:r>
          </w:p>
          <w:p w:rsidR="006A56AA" w:rsidRDefault="006A56AA" w:rsidP="000E5D5B">
            <w:pPr>
              <w:autoSpaceDE w:val="0"/>
              <w:autoSpaceDN w:val="0"/>
              <w:adjustRightInd w:val="0"/>
              <w:spacing w:after="0" w:line="240" w:lineRule="auto"/>
              <w:rPr>
                <w:rFonts w:cstheme="minorHAnsi"/>
                <w:b/>
                <w:bCs/>
                <w:color w:val="FFFFFF" w:themeColor="background1"/>
              </w:rPr>
            </w:pPr>
          </w:p>
        </w:tc>
        <w:tc>
          <w:tcPr>
            <w:tcW w:w="293" w:type="pct"/>
            <w:tcBorders>
              <w:bottom w:val="single" w:sz="4" w:space="0" w:color="auto"/>
            </w:tcBorders>
            <w:shd w:val="clear" w:color="auto" w:fill="000000" w:themeFill="text1"/>
          </w:tcPr>
          <w:p w:rsidR="006A56AA" w:rsidRPr="00796EF5" w:rsidRDefault="00A239E5" w:rsidP="000E5D5B">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 xml:space="preserve">YES , </w:t>
            </w:r>
            <w:r w:rsidR="006A56AA">
              <w:rPr>
                <w:rFonts w:cstheme="minorHAnsi"/>
                <w:b/>
                <w:bCs/>
                <w:color w:val="FFFFFF" w:themeColor="background1"/>
              </w:rPr>
              <w:t>NO</w:t>
            </w:r>
            <w:r>
              <w:rPr>
                <w:rFonts w:cstheme="minorHAnsi"/>
                <w:b/>
                <w:bCs/>
                <w:color w:val="FFFFFF" w:themeColor="background1"/>
              </w:rPr>
              <w:t xml:space="preserve"> or N/A</w:t>
            </w:r>
          </w:p>
        </w:tc>
        <w:tc>
          <w:tcPr>
            <w:tcW w:w="955" w:type="pct"/>
            <w:tcBorders>
              <w:bottom w:val="single" w:sz="4" w:space="0" w:color="auto"/>
            </w:tcBorders>
            <w:shd w:val="clear" w:color="auto" w:fill="000000" w:themeFill="text1"/>
          </w:tcPr>
          <w:p w:rsidR="006A56AA" w:rsidRDefault="006A56AA" w:rsidP="006A56AA">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Gap</w:t>
            </w:r>
          </w:p>
          <w:p w:rsidR="006A56AA" w:rsidRDefault="006A56AA" w:rsidP="00122FAF">
            <w:pPr>
              <w:autoSpaceDE w:val="0"/>
              <w:autoSpaceDN w:val="0"/>
              <w:adjustRightInd w:val="0"/>
              <w:spacing w:after="0" w:line="240" w:lineRule="auto"/>
              <w:rPr>
                <w:rFonts w:cstheme="minorHAnsi"/>
                <w:b/>
                <w:bCs/>
                <w:color w:val="FFFFFF" w:themeColor="background1"/>
              </w:rPr>
            </w:pPr>
          </w:p>
        </w:tc>
        <w:tc>
          <w:tcPr>
            <w:tcW w:w="730" w:type="pct"/>
            <w:tcBorders>
              <w:bottom w:val="single" w:sz="4" w:space="0" w:color="auto"/>
            </w:tcBorders>
            <w:shd w:val="clear" w:color="auto" w:fill="000000" w:themeFill="text1"/>
          </w:tcPr>
          <w:p w:rsidR="006A56AA" w:rsidRPr="00796EF5" w:rsidRDefault="00A239E5" w:rsidP="00A239E5">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Comments</w:t>
            </w:r>
          </w:p>
        </w:tc>
      </w:tr>
      <w:tr w:rsidR="00AC1967" w:rsidRPr="00F26424" w:rsidTr="00AC196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reviewed and approved by the key stakeholders.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InfoSec Policy been reviewed and approved by the key stakeholders?</w:t>
            </w:r>
          </w:p>
        </w:tc>
        <w:tc>
          <w:tcPr>
            <w:tcW w:w="293" w:type="pct"/>
            <w:shd w:val="clear" w:color="auto" w:fill="FABF8F" w:themeFill="accent6" w:themeFillTint="99"/>
          </w:tcPr>
          <w:p w:rsidR="00AC1967" w:rsidRPr="00AE2307" w:rsidRDefault="00AC1967" w:rsidP="001B4654"/>
        </w:tc>
        <w:tc>
          <w:tcPr>
            <w:tcW w:w="955" w:type="pct"/>
            <w:shd w:val="clear" w:color="auto" w:fill="FABF8F" w:themeFill="accent6" w:themeFillTint="99"/>
          </w:tcPr>
          <w:p w:rsidR="00AC1967" w:rsidRPr="00AE2307" w:rsidRDefault="00AC1967" w:rsidP="001B4654">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1B4654">
            <w:pPr>
              <w:autoSpaceDE w:val="0"/>
              <w:autoSpaceDN w:val="0"/>
              <w:adjustRightInd w:val="0"/>
              <w:spacing w:after="0" w:line="240" w:lineRule="auto"/>
              <w:rPr>
                <w:rFonts w:cstheme="minorHAnsi"/>
                <w:b/>
                <w:bCs/>
                <w:color w:val="000000" w:themeColor="text1"/>
              </w:rPr>
            </w:pPr>
          </w:p>
        </w:tc>
      </w:tr>
      <w:tr w:rsidR="00AC1967" w:rsidRPr="00F26424" w:rsidTr="00AC1967">
        <w:trPr>
          <w:trHeight w:val="407"/>
        </w:trPr>
        <w:tc>
          <w:tcPr>
            <w:tcW w:w="1526" w:type="pct"/>
            <w:shd w:val="clear" w:color="auto" w:fill="FABF8F" w:themeFill="accent6" w:themeFillTint="99"/>
          </w:tcPr>
          <w:p w:rsidR="00AC1967" w:rsidRPr="00AE2307" w:rsidRDefault="00AE2307" w:rsidP="00AE2307">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approved and received sign off by the authorized executives.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approved and received sign off by the authorized executive?</w:t>
            </w:r>
          </w:p>
        </w:tc>
        <w:tc>
          <w:tcPr>
            <w:tcW w:w="293" w:type="pct"/>
            <w:shd w:val="clear" w:color="auto" w:fill="FABF8F" w:themeFill="accent6" w:themeFillTint="99"/>
          </w:tcPr>
          <w:p w:rsidR="00AC1967" w:rsidRPr="00AE2307" w:rsidRDefault="00AC1967" w:rsidP="001B4654">
            <w:pPr>
              <w:autoSpaceDE w:val="0"/>
              <w:autoSpaceDN w:val="0"/>
              <w:adjustRightInd w:val="0"/>
              <w:spacing w:after="0" w:line="240" w:lineRule="auto"/>
              <w:rPr>
                <w:rFonts w:cstheme="minorHAnsi"/>
                <w:b/>
                <w:bCs/>
                <w:color w:val="000000" w:themeColor="text1"/>
              </w:rPr>
            </w:pPr>
          </w:p>
        </w:tc>
        <w:tc>
          <w:tcPr>
            <w:tcW w:w="955" w:type="pct"/>
            <w:shd w:val="clear" w:color="auto" w:fill="FABF8F" w:themeFill="accent6" w:themeFillTint="99"/>
          </w:tcPr>
          <w:p w:rsidR="00AC1967" w:rsidRPr="00AE2307" w:rsidRDefault="00AC1967" w:rsidP="001B4654">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1B4654">
            <w:pPr>
              <w:autoSpaceDE w:val="0"/>
              <w:autoSpaceDN w:val="0"/>
              <w:adjustRightInd w:val="0"/>
              <w:spacing w:after="0" w:line="240" w:lineRule="auto"/>
              <w:rPr>
                <w:rFonts w:cstheme="minorHAnsi"/>
                <w:b/>
                <w:bCs/>
                <w:color w:val="000000" w:themeColor="text1"/>
              </w:rPr>
            </w:pPr>
          </w:p>
        </w:tc>
      </w:tr>
      <w:tr w:rsidR="00AC1967" w:rsidRPr="00F26424" w:rsidTr="00AC196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The policy has been socialized across the Agency for personnel awareness.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shared with all personnel across-Agency?</w:t>
            </w:r>
          </w:p>
        </w:tc>
        <w:tc>
          <w:tcPr>
            <w:tcW w:w="293" w:type="pct"/>
            <w:shd w:val="clear" w:color="auto" w:fill="FABF8F" w:themeFill="accent6" w:themeFillTint="99"/>
          </w:tcPr>
          <w:p w:rsidR="00AC1967" w:rsidRPr="00AE2307" w:rsidRDefault="00AC1967" w:rsidP="001B4654">
            <w:pPr>
              <w:autoSpaceDE w:val="0"/>
              <w:autoSpaceDN w:val="0"/>
              <w:adjustRightInd w:val="0"/>
              <w:spacing w:after="0" w:line="240" w:lineRule="auto"/>
              <w:rPr>
                <w:rFonts w:cstheme="minorHAnsi"/>
                <w:b/>
                <w:bCs/>
                <w:color w:val="000000" w:themeColor="text1"/>
              </w:rPr>
            </w:pPr>
          </w:p>
        </w:tc>
        <w:tc>
          <w:tcPr>
            <w:tcW w:w="955" w:type="pct"/>
            <w:shd w:val="clear" w:color="auto" w:fill="FABF8F" w:themeFill="accent6" w:themeFillTint="99"/>
          </w:tcPr>
          <w:p w:rsidR="00AC1967" w:rsidRPr="00AE2307" w:rsidRDefault="00AC1967" w:rsidP="001B4654">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1B4654">
            <w:pPr>
              <w:autoSpaceDE w:val="0"/>
              <w:autoSpaceDN w:val="0"/>
              <w:adjustRightInd w:val="0"/>
              <w:spacing w:after="0" w:line="240" w:lineRule="auto"/>
              <w:rPr>
                <w:rFonts w:cstheme="minorHAnsi"/>
                <w:b/>
                <w:bCs/>
                <w:color w:val="000000" w:themeColor="text1"/>
              </w:rPr>
            </w:pPr>
          </w:p>
        </w:tc>
      </w:tr>
      <w:tr w:rsidR="009D186C" w:rsidRPr="00F26424" w:rsidTr="006C18FB">
        <w:trPr>
          <w:trHeight w:val="620"/>
        </w:trPr>
        <w:tc>
          <w:tcPr>
            <w:tcW w:w="1526" w:type="pct"/>
            <w:vMerge w:val="restart"/>
          </w:tcPr>
          <w:p w:rsidR="009D186C" w:rsidRPr="0048538D" w:rsidRDefault="00371488" w:rsidP="0008378E">
            <w:pPr>
              <w:spacing w:before="60" w:after="60" w:line="240" w:lineRule="auto"/>
              <w:rPr>
                <w:rFonts w:eastAsia="Calibri" w:cstheme="minorHAnsi"/>
              </w:rPr>
            </w:pPr>
            <w:r>
              <w:rPr>
                <w:rFonts w:eastAsia="Calibri" w:cstheme="minorHAnsi"/>
              </w:rPr>
              <w:t>Establish a Risk Management Strategy</w:t>
            </w:r>
          </w:p>
        </w:tc>
        <w:tc>
          <w:tcPr>
            <w:tcW w:w="1496" w:type="pct"/>
          </w:tcPr>
          <w:p w:rsidR="009D186C" w:rsidRDefault="002B7D38" w:rsidP="002B7D38">
            <w:pPr>
              <w:autoSpaceDE w:val="0"/>
              <w:autoSpaceDN w:val="0"/>
              <w:adjustRightInd w:val="0"/>
              <w:spacing w:after="0" w:line="240" w:lineRule="auto"/>
              <w:rPr>
                <w:rFonts w:cstheme="minorHAnsi"/>
                <w:color w:val="000000"/>
              </w:rPr>
            </w:pPr>
            <w:r>
              <w:rPr>
                <w:rFonts w:cstheme="minorHAnsi"/>
                <w:color w:val="000000"/>
              </w:rPr>
              <w:t>Has your Agency documented</w:t>
            </w:r>
            <w:r w:rsidR="00371488">
              <w:rPr>
                <w:rFonts w:cstheme="minorHAnsi"/>
                <w:color w:val="000000"/>
              </w:rPr>
              <w:t xml:space="preserve"> an on-going risk assessment and risk mitigation process?</w:t>
            </w:r>
          </w:p>
          <w:p w:rsidR="0083214A" w:rsidRDefault="0083214A" w:rsidP="002B7D38">
            <w:pPr>
              <w:autoSpaceDE w:val="0"/>
              <w:autoSpaceDN w:val="0"/>
              <w:adjustRightInd w:val="0"/>
              <w:spacing w:after="0" w:line="240" w:lineRule="auto"/>
              <w:rPr>
                <w:rFonts w:cstheme="minorHAnsi"/>
                <w:color w:val="000000"/>
              </w:rPr>
            </w:pPr>
          </w:p>
          <w:p w:rsidR="0083214A" w:rsidRPr="0039073C" w:rsidRDefault="00E54EBB" w:rsidP="00E54EBB">
            <w:pPr>
              <w:autoSpaceDE w:val="0"/>
              <w:autoSpaceDN w:val="0"/>
              <w:adjustRightInd w:val="0"/>
              <w:spacing w:after="0" w:line="240" w:lineRule="auto"/>
              <w:rPr>
                <w:rFonts w:cstheme="minorHAnsi"/>
                <w:color w:val="000000"/>
              </w:rPr>
            </w:pPr>
            <w:r>
              <w:rPr>
                <w:rFonts w:cstheme="minorHAnsi"/>
                <w:color w:val="000000"/>
              </w:rPr>
              <w:t>Additional guidance</w:t>
            </w:r>
            <w:r w:rsidR="0083214A">
              <w:rPr>
                <w:rFonts w:cstheme="minorHAnsi"/>
                <w:color w:val="000000"/>
              </w:rPr>
              <w:t xml:space="preserve">: Typically, a risk assessment process has to be based on a security framework (e.g., NIST 800-53). The State of South Carolina Self-Assessment Tool is recommended </w:t>
            </w:r>
            <w:r>
              <w:rPr>
                <w:rFonts w:cstheme="minorHAnsi"/>
                <w:color w:val="000000"/>
              </w:rPr>
              <w:t>to be used by agencies to perform risk assessments internally</w:t>
            </w:r>
            <w:r w:rsidR="0083214A">
              <w:rPr>
                <w:rFonts w:cstheme="minorHAnsi"/>
                <w:color w:val="000000"/>
              </w:rPr>
              <w:t>.</w:t>
            </w:r>
            <w:r w:rsidR="0083214A">
              <w:rPr>
                <w:rFonts w:cstheme="minorHAnsi"/>
                <w:color w:val="000000"/>
              </w:rPr>
              <w:br/>
              <w:t xml:space="preserve">Link: </w:t>
            </w:r>
            <w:r w:rsidR="00867E71">
              <w:rPr>
                <w:rFonts w:cstheme="minorHAnsi"/>
                <w:color w:val="000000"/>
              </w:rPr>
              <w:t>(</w:t>
            </w:r>
            <w:r w:rsidR="0083214A" w:rsidRPr="0083214A">
              <w:rPr>
                <w:rFonts w:cstheme="minorHAnsi"/>
                <w:color w:val="000000"/>
              </w:rPr>
              <w:t>http://dis.sc.gov/PoliciesAndProcedures/Pages/default.aspx#Self Assessment Tool</w:t>
            </w:r>
            <w:r w:rsidR="00867E71">
              <w:rPr>
                <w:rFonts w:cstheme="minorHAnsi"/>
                <w:color w:val="000000"/>
              </w:rPr>
              <w:t>)</w:t>
            </w:r>
          </w:p>
        </w:tc>
        <w:tc>
          <w:tcPr>
            <w:tcW w:w="293" w:type="pct"/>
          </w:tcPr>
          <w:p w:rsidR="009D186C" w:rsidRPr="005925C6" w:rsidRDefault="009D186C" w:rsidP="001B4654">
            <w:pPr>
              <w:autoSpaceDE w:val="0"/>
              <w:autoSpaceDN w:val="0"/>
              <w:adjustRightInd w:val="0"/>
              <w:spacing w:after="0" w:line="240" w:lineRule="auto"/>
              <w:rPr>
                <w:rFonts w:cstheme="minorHAnsi"/>
                <w:color w:val="000000"/>
              </w:rPr>
            </w:pPr>
          </w:p>
        </w:tc>
        <w:tc>
          <w:tcPr>
            <w:tcW w:w="955" w:type="pct"/>
          </w:tcPr>
          <w:p w:rsidR="009D186C" w:rsidRPr="00122FAF" w:rsidRDefault="009D186C" w:rsidP="001B4654">
            <w:pPr>
              <w:autoSpaceDE w:val="0"/>
              <w:autoSpaceDN w:val="0"/>
              <w:adjustRightInd w:val="0"/>
              <w:spacing w:after="0" w:line="240" w:lineRule="auto"/>
              <w:rPr>
                <w:rFonts w:cstheme="minorHAnsi"/>
                <w:color w:val="000000"/>
              </w:rPr>
            </w:pPr>
          </w:p>
        </w:tc>
        <w:tc>
          <w:tcPr>
            <w:tcW w:w="730" w:type="pct"/>
          </w:tcPr>
          <w:p w:rsidR="009D186C" w:rsidRPr="00122FAF" w:rsidRDefault="009D186C" w:rsidP="001B4654">
            <w:pPr>
              <w:autoSpaceDE w:val="0"/>
              <w:autoSpaceDN w:val="0"/>
              <w:adjustRightInd w:val="0"/>
              <w:spacing w:after="0" w:line="240" w:lineRule="auto"/>
              <w:rPr>
                <w:rFonts w:cstheme="minorHAnsi"/>
                <w:color w:val="000000"/>
              </w:rPr>
            </w:pPr>
          </w:p>
        </w:tc>
      </w:tr>
      <w:tr w:rsidR="002B7D38" w:rsidRPr="00F26424" w:rsidTr="00EF72DF">
        <w:trPr>
          <w:trHeight w:val="332"/>
        </w:trPr>
        <w:tc>
          <w:tcPr>
            <w:tcW w:w="1526" w:type="pct"/>
            <w:vMerge/>
          </w:tcPr>
          <w:p w:rsidR="002B7D38" w:rsidRDefault="002B7D38" w:rsidP="00EF72DF">
            <w:pPr>
              <w:spacing w:before="60" w:after="60" w:line="240" w:lineRule="auto"/>
              <w:rPr>
                <w:rFonts w:eastAsia="Calibri" w:cstheme="minorHAnsi"/>
              </w:rPr>
            </w:pPr>
          </w:p>
        </w:tc>
        <w:tc>
          <w:tcPr>
            <w:tcW w:w="1496" w:type="pct"/>
          </w:tcPr>
          <w:p w:rsidR="002B7D38" w:rsidRDefault="002B7D38" w:rsidP="00C515DD">
            <w:pPr>
              <w:autoSpaceDE w:val="0"/>
              <w:autoSpaceDN w:val="0"/>
              <w:adjustRightInd w:val="0"/>
              <w:spacing w:after="0" w:line="240" w:lineRule="auto"/>
              <w:rPr>
                <w:rFonts w:cstheme="minorHAnsi"/>
                <w:color w:val="000000"/>
              </w:rPr>
            </w:pPr>
            <w:r>
              <w:rPr>
                <w:rFonts w:cstheme="minorHAnsi"/>
                <w:color w:val="000000"/>
              </w:rPr>
              <w:t xml:space="preserve">If yes, has your Agency defined a schedule </w:t>
            </w:r>
            <w:r w:rsidR="0083214A">
              <w:rPr>
                <w:rFonts w:cstheme="minorHAnsi"/>
                <w:color w:val="000000"/>
              </w:rPr>
              <w:t xml:space="preserve">(e.g., to be conducted annually) </w:t>
            </w:r>
            <w:r>
              <w:rPr>
                <w:rFonts w:cstheme="minorHAnsi"/>
                <w:color w:val="000000"/>
              </w:rPr>
              <w:t>for this process?</w:t>
            </w:r>
          </w:p>
        </w:tc>
        <w:tc>
          <w:tcPr>
            <w:tcW w:w="293" w:type="pct"/>
          </w:tcPr>
          <w:p w:rsidR="002B7D38" w:rsidRPr="005925C6" w:rsidRDefault="002B7D38" w:rsidP="001B4654">
            <w:pPr>
              <w:autoSpaceDE w:val="0"/>
              <w:autoSpaceDN w:val="0"/>
              <w:adjustRightInd w:val="0"/>
              <w:spacing w:after="0" w:line="240" w:lineRule="auto"/>
              <w:rPr>
                <w:rFonts w:cstheme="minorHAnsi"/>
                <w:color w:val="000000"/>
              </w:rPr>
            </w:pPr>
          </w:p>
        </w:tc>
        <w:tc>
          <w:tcPr>
            <w:tcW w:w="955" w:type="pct"/>
          </w:tcPr>
          <w:p w:rsidR="002B7D38" w:rsidRPr="00122FAF" w:rsidRDefault="002B7D38" w:rsidP="001B4654">
            <w:pPr>
              <w:autoSpaceDE w:val="0"/>
              <w:autoSpaceDN w:val="0"/>
              <w:adjustRightInd w:val="0"/>
              <w:spacing w:after="0" w:line="240" w:lineRule="auto"/>
              <w:rPr>
                <w:rFonts w:cstheme="minorHAnsi"/>
                <w:color w:val="000000"/>
              </w:rPr>
            </w:pPr>
          </w:p>
        </w:tc>
        <w:tc>
          <w:tcPr>
            <w:tcW w:w="730" w:type="pct"/>
          </w:tcPr>
          <w:p w:rsidR="002B7D38" w:rsidRPr="00122FAF" w:rsidRDefault="002B7D38" w:rsidP="001B4654">
            <w:pPr>
              <w:autoSpaceDE w:val="0"/>
              <w:autoSpaceDN w:val="0"/>
              <w:adjustRightInd w:val="0"/>
              <w:spacing w:after="0" w:line="240" w:lineRule="auto"/>
              <w:rPr>
                <w:rFonts w:cstheme="minorHAnsi"/>
                <w:color w:val="000000"/>
              </w:rPr>
            </w:pPr>
          </w:p>
        </w:tc>
      </w:tr>
      <w:tr w:rsidR="00E932E1" w:rsidRPr="00F26424" w:rsidTr="00EF72DF">
        <w:trPr>
          <w:trHeight w:val="332"/>
        </w:trPr>
        <w:tc>
          <w:tcPr>
            <w:tcW w:w="1526" w:type="pct"/>
          </w:tcPr>
          <w:p w:rsidR="00E932E1" w:rsidRDefault="00E932E1" w:rsidP="00E932E1">
            <w:pPr>
              <w:spacing w:before="60" w:after="60" w:line="240" w:lineRule="auto"/>
              <w:rPr>
                <w:rFonts w:eastAsia="Calibri" w:cstheme="minorHAnsi"/>
              </w:rPr>
            </w:pPr>
            <w:r>
              <w:rPr>
                <w:rFonts w:eastAsia="Calibri" w:cstheme="minorHAnsi"/>
              </w:rPr>
              <w:t>Establish a Risk Evaluation Process</w:t>
            </w:r>
          </w:p>
        </w:tc>
        <w:tc>
          <w:tcPr>
            <w:tcW w:w="1496" w:type="pct"/>
          </w:tcPr>
          <w:p w:rsidR="00E932E1" w:rsidRDefault="00E932E1" w:rsidP="00B1627C">
            <w:pPr>
              <w:autoSpaceDE w:val="0"/>
              <w:autoSpaceDN w:val="0"/>
              <w:adjustRightInd w:val="0"/>
              <w:spacing w:after="0" w:line="240" w:lineRule="auto"/>
              <w:rPr>
                <w:rFonts w:cstheme="minorHAnsi"/>
                <w:color w:val="000000"/>
              </w:rPr>
            </w:pPr>
            <w:r>
              <w:rPr>
                <w:rFonts w:cstheme="minorHAnsi"/>
                <w:color w:val="000000"/>
              </w:rPr>
              <w:t>Does your Agency review and evaluate an identified risk based on system categorization level</w:t>
            </w:r>
            <w:r w:rsidR="00867E71">
              <w:rPr>
                <w:rFonts w:cstheme="minorHAnsi"/>
                <w:color w:val="000000"/>
              </w:rPr>
              <w:t xml:space="preserve"> </w:t>
            </w:r>
            <w:r w:rsidR="00B1627C">
              <w:rPr>
                <w:rFonts w:cstheme="minorHAnsi"/>
                <w:color w:val="000000"/>
              </w:rPr>
              <w:t>(</w:t>
            </w:r>
            <w:r w:rsidR="00867E71">
              <w:rPr>
                <w:rFonts w:cstheme="minorHAnsi"/>
                <w:color w:val="000000"/>
              </w:rPr>
              <w:t>e.g., data classification model)</w:t>
            </w:r>
            <w:r>
              <w:rPr>
                <w:rFonts w:cstheme="minorHAnsi"/>
                <w:color w:val="000000"/>
              </w:rPr>
              <w:t>?</w:t>
            </w:r>
          </w:p>
          <w:p w:rsidR="00B1627C" w:rsidRDefault="00B1627C" w:rsidP="00B1627C">
            <w:pPr>
              <w:autoSpaceDE w:val="0"/>
              <w:autoSpaceDN w:val="0"/>
              <w:adjustRightInd w:val="0"/>
              <w:spacing w:after="0" w:line="240" w:lineRule="auto"/>
              <w:rPr>
                <w:rFonts w:cstheme="minorHAnsi"/>
                <w:color w:val="000000"/>
              </w:rPr>
            </w:pPr>
          </w:p>
          <w:p w:rsidR="00B1627C" w:rsidRDefault="00B1627C" w:rsidP="00B1627C">
            <w:pPr>
              <w:autoSpaceDE w:val="0"/>
              <w:autoSpaceDN w:val="0"/>
              <w:adjustRightInd w:val="0"/>
              <w:spacing w:after="0" w:line="240" w:lineRule="auto"/>
              <w:rPr>
                <w:rFonts w:cstheme="minorHAnsi"/>
                <w:color w:val="000000"/>
              </w:rPr>
            </w:pPr>
            <w:r>
              <w:rPr>
                <w:rFonts w:cstheme="minorHAnsi"/>
                <w:color w:val="000000"/>
              </w:rPr>
              <w:t xml:space="preserve">Additional guidance: Agencies should use the Data Inventory Tool to define, document and categorize systems according to the data classification schema </w:t>
            </w:r>
            <w:r>
              <w:rPr>
                <w:rFonts w:cstheme="minorHAnsi"/>
                <w:color w:val="000000"/>
              </w:rPr>
              <w:lastRenderedPageBreak/>
              <w:t xml:space="preserve">(found in the Data Protection &amp; Privacy policy).  After classifying the assets, the Agency should evaluate the risks of each system based on the data classification. </w:t>
            </w:r>
          </w:p>
        </w:tc>
        <w:tc>
          <w:tcPr>
            <w:tcW w:w="293" w:type="pct"/>
          </w:tcPr>
          <w:p w:rsidR="00E932E1" w:rsidRPr="005925C6" w:rsidRDefault="00E932E1" w:rsidP="001B4654">
            <w:pPr>
              <w:autoSpaceDE w:val="0"/>
              <w:autoSpaceDN w:val="0"/>
              <w:adjustRightInd w:val="0"/>
              <w:spacing w:after="0" w:line="240" w:lineRule="auto"/>
              <w:rPr>
                <w:rFonts w:cstheme="minorHAnsi"/>
                <w:color w:val="000000"/>
              </w:rPr>
            </w:pPr>
          </w:p>
        </w:tc>
        <w:tc>
          <w:tcPr>
            <w:tcW w:w="955" w:type="pct"/>
          </w:tcPr>
          <w:p w:rsidR="00E932E1" w:rsidRPr="00122FAF" w:rsidRDefault="00E932E1" w:rsidP="001B4654">
            <w:pPr>
              <w:autoSpaceDE w:val="0"/>
              <w:autoSpaceDN w:val="0"/>
              <w:adjustRightInd w:val="0"/>
              <w:spacing w:after="0" w:line="240" w:lineRule="auto"/>
              <w:rPr>
                <w:rFonts w:cstheme="minorHAnsi"/>
                <w:color w:val="000000"/>
              </w:rPr>
            </w:pPr>
          </w:p>
        </w:tc>
        <w:tc>
          <w:tcPr>
            <w:tcW w:w="730" w:type="pct"/>
          </w:tcPr>
          <w:p w:rsidR="00E932E1" w:rsidRPr="00122FAF" w:rsidRDefault="00E932E1"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vMerge w:val="restart"/>
          </w:tcPr>
          <w:p w:rsidR="00F675A9" w:rsidRDefault="00B74FC2" w:rsidP="00EF72DF">
            <w:pPr>
              <w:spacing w:before="60" w:after="60" w:line="240" w:lineRule="auto"/>
              <w:rPr>
                <w:rFonts w:eastAsia="Calibri" w:cstheme="minorHAnsi"/>
              </w:rPr>
            </w:pPr>
            <w:r>
              <w:rPr>
                <w:rFonts w:eastAsia="Calibri" w:cstheme="minorHAnsi"/>
              </w:rPr>
              <w:lastRenderedPageBreak/>
              <w:t>Establish</w:t>
            </w:r>
            <w:r w:rsidR="00F675A9">
              <w:rPr>
                <w:rFonts w:eastAsia="Calibri" w:cstheme="minorHAnsi"/>
              </w:rPr>
              <w:t xml:space="preserve"> a Risk Assessment Framework</w:t>
            </w:r>
          </w:p>
        </w:tc>
        <w:tc>
          <w:tcPr>
            <w:tcW w:w="1496" w:type="pct"/>
          </w:tcPr>
          <w:p w:rsidR="00F675A9" w:rsidRDefault="00F675A9" w:rsidP="004E0DBF">
            <w:pPr>
              <w:autoSpaceDE w:val="0"/>
              <w:autoSpaceDN w:val="0"/>
              <w:adjustRightInd w:val="0"/>
              <w:spacing w:after="0" w:line="240" w:lineRule="auto"/>
              <w:rPr>
                <w:rFonts w:cstheme="minorHAnsi"/>
                <w:color w:val="000000"/>
              </w:rPr>
            </w:pPr>
            <w:r w:rsidRPr="004E0DBF">
              <w:rPr>
                <w:rFonts w:cstheme="minorHAnsi"/>
                <w:color w:val="000000"/>
              </w:rPr>
              <w:t>Has your Agency established a risk assessment framework based on applicable State and federal laws, regulation and industry standards?</w:t>
            </w:r>
          </w:p>
          <w:p w:rsidR="00B1627C" w:rsidRPr="004E0DBF" w:rsidRDefault="00B1627C" w:rsidP="004E0DBF">
            <w:pPr>
              <w:autoSpaceDE w:val="0"/>
              <w:autoSpaceDN w:val="0"/>
              <w:adjustRightInd w:val="0"/>
              <w:spacing w:after="0" w:line="240" w:lineRule="auto"/>
              <w:rPr>
                <w:rFonts w:cstheme="minorHAnsi"/>
                <w:color w:val="000000"/>
              </w:rPr>
            </w:pPr>
          </w:p>
          <w:p w:rsidR="00B1627C" w:rsidRPr="004E0DBF" w:rsidRDefault="00B1627C" w:rsidP="004E0DBF">
            <w:pPr>
              <w:autoSpaceDE w:val="0"/>
              <w:autoSpaceDN w:val="0"/>
              <w:adjustRightInd w:val="0"/>
              <w:spacing w:after="0" w:line="240" w:lineRule="auto"/>
              <w:rPr>
                <w:rFonts w:cstheme="minorHAnsi"/>
                <w:color w:val="000000"/>
              </w:rPr>
            </w:pPr>
            <w:r w:rsidRPr="004E0DBF">
              <w:rPr>
                <w:rFonts w:cstheme="minorHAnsi"/>
                <w:color w:val="000000"/>
              </w:rPr>
              <w:t>Additional guidance:</w:t>
            </w:r>
            <w:r>
              <w:rPr>
                <w:rFonts w:cstheme="minorHAnsi"/>
                <w:color w:val="000000"/>
              </w:rPr>
              <w:t xml:space="preserve"> For conducting risk assessments, an Agency can leverage the</w:t>
            </w:r>
            <w:r>
              <w:t xml:space="preserve"> self-assessment tool</w:t>
            </w:r>
            <w:r w:rsidR="00B16837">
              <w:t xml:space="preserve"> provided by Deloitte.  However, it is important to note that Agencies shall</w:t>
            </w:r>
            <w:r>
              <w:t xml:space="preserve"> revise </w:t>
            </w:r>
            <w:r w:rsidR="00B16837">
              <w:t xml:space="preserve">the framework </w:t>
            </w:r>
            <w:r>
              <w:t>to help ensure requirements from applicable laws and regulations are included</w:t>
            </w:r>
            <w:r w:rsidR="00B16837">
              <w:t xml:space="preserve"> to better comply with requirements from the State policies and additional restrictions internally at the Agency.</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vMerge/>
          </w:tcPr>
          <w:p w:rsidR="00F675A9" w:rsidRDefault="00F675A9" w:rsidP="00784A7C">
            <w:pPr>
              <w:spacing w:before="60" w:after="60" w:line="240" w:lineRule="auto"/>
              <w:rPr>
                <w:rFonts w:eastAsia="Calibri" w:cstheme="minorHAnsi"/>
              </w:rPr>
            </w:pPr>
          </w:p>
        </w:tc>
        <w:tc>
          <w:tcPr>
            <w:tcW w:w="1496" w:type="pct"/>
          </w:tcPr>
          <w:p w:rsidR="00F675A9" w:rsidRDefault="00F675A9" w:rsidP="009B148B">
            <w:pPr>
              <w:autoSpaceDE w:val="0"/>
              <w:autoSpaceDN w:val="0"/>
              <w:adjustRightInd w:val="0"/>
              <w:spacing w:after="0" w:line="240" w:lineRule="auto"/>
              <w:rPr>
                <w:rFonts w:cstheme="minorHAnsi"/>
                <w:color w:val="000000"/>
              </w:rPr>
            </w:pPr>
            <w:r>
              <w:rPr>
                <w:rFonts w:cstheme="minorHAnsi"/>
                <w:color w:val="000000"/>
              </w:rPr>
              <w:t xml:space="preserve">If yes, does this framework clearly </w:t>
            </w:r>
            <w:r w:rsidR="009B148B">
              <w:rPr>
                <w:rFonts w:cstheme="minorHAnsi"/>
                <w:color w:val="000000"/>
              </w:rPr>
              <w:t xml:space="preserve">define </w:t>
            </w:r>
            <w:r>
              <w:rPr>
                <w:rFonts w:cstheme="minorHAnsi"/>
                <w:color w:val="000000"/>
              </w:rPr>
              <w:t>accountability</w:t>
            </w:r>
            <w:r w:rsidR="00EE4A36">
              <w:rPr>
                <w:rFonts w:cstheme="minorHAnsi"/>
                <w:color w:val="000000"/>
              </w:rPr>
              <w:t xml:space="preserve"> in terms of risk</w:t>
            </w:r>
            <w:r>
              <w:rPr>
                <w:rFonts w:cstheme="minorHAnsi"/>
                <w:color w:val="000000"/>
              </w:rPr>
              <w:t>, roles</w:t>
            </w:r>
            <w:r w:rsidR="00907133">
              <w:rPr>
                <w:rFonts w:cstheme="minorHAnsi"/>
                <w:color w:val="000000"/>
              </w:rPr>
              <w:t>,</w:t>
            </w:r>
            <w:r>
              <w:rPr>
                <w:rFonts w:cstheme="minorHAnsi"/>
                <w:color w:val="000000"/>
              </w:rPr>
              <w:t xml:space="preserve"> and responsibilities</w:t>
            </w:r>
            <w:r w:rsidR="00907133">
              <w:rPr>
                <w:rFonts w:cstheme="minorHAnsi"/>
                <w:color w:val="000000"/>
              </w:rPr>
              <w:t xml:space="preserve"> within Agency departments</w:t>
            </w:r>
            <w:r>
              <w:rPr>
                <w:rFonts w:cstheme="minorHAnsi"/>
                <w:color w:val="000000"/>
              </w:rPr>
              <w:t>?</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C87820" w:rsidRPr="00F26424" w:rsidTr="00EF72DF">
        <w:trPr>
          <w:trHeight w:val="332"/>
        </w:trPr>
        <w:tc>
          <w:tcPr>
            <w:tcW w:w="1526" w:type="pct"/>
            <w:vMerge w:val="restart"/>
          </w:tcPr>
          <w:p w:rsidR="00C87820" w:rsidRDefault="00C87820" w:rsidP="00D93363">
            <w:pPr>
              <w:spacing w:before="60" w:after="60" w:line="240" w:lineRule="auto"/>
              <w:rPr>
                <w:rFonts w:eastAsia="Calibri" w:cstheme="minorHAnsi"/>
              </w:rPr>
            </w:pPr>
            <w:r>
              <w:rPr>
                <w:rFonts w:eastAsia="Calibri" w:cstheme="minorHAnsi"/>
              </w:rPr>
              <w:t>Establish a Security Assessment Process</w:t>
            </w:r>
          </w:p>
        </w:tc>
        <w:tc>
          <w:tcPr>
            <w:tcW w:w="1496" w:type="pct"/>
          </w:tcPr>
          <w:p w:rsidR="00C87820" w:rsidRDefault="00C87820" w:rsidP="00414F86">
            <w:pPr>
              <w:autoSpaceDE w:val="0"/>
              <w:autoSpaceDN w:val="0"/>
              <w:adjustRightInd w:val="0"/>
              <w:spacing w:after="0" w:line="240" w:lineRule="auto"/>
              <w:rPr>
                <w:rFonts w:cstheme="minorHAnsi"/>
                <w:color w:val="000000"/>
              </w:rPr>
            </w:pPr>
            <w:r>
              <w:rPr>
                <w:rFonts w:cstheme="minorHAnsi"/>
                <w:color w:val="000000"/>
              </w:rPr>
              <w:t>Does your Agency conduct a formal assessment of the IT security processes and controls to evaluate if the controls are operating as intended and producing the desired outcome?</w:t>
            </w:r>
          </w:p>
          <w:p w:rsidR="00C87820" w:rsidRDefault="00C87820" w:rsidP="00414F86">
            <w:pPr>
              <w:autoSpaceDE w:val="0"/>
              <w:autoSpaceDN w:val="0"/>
              <w:adjustRightInd w:val="0"/>
              <w:spacing w:after="0" w:line="240" w:lineRule="auto"/>
              <w:rPr>
                <w:rFonts w:cstheme="minorHAnsi"/>
                <w:color w:val="000000"/>
              </w:rPr>
            </w:pPr>
          </w:p>
          <w:p w:rsidR="00C87820" w:rsidRDefault="00C87820" w:rsidP="006F667A">
            <w:pPr>
              <w:autoSpaceDE w:val="0"/>
              <w:autoSpaceDN w:val="0"/>
              <w:adjustRightInd w:val="0"/>
              <w:spacing w:after="0" w:line="240" w:lineRule="auto"/>
              <w:rPr>
                <w:rFonts w:cstheme="minorHAnsi"/>
                <w:color w:val="000000"/>
              </w:rPr>
            </w:pPr>
            <w:r>
              <w:rPr>
                <w:rFonts w:cstheme="minorHAnsi"/>
                <w:color w:val="000000"/>
              </w:rPr>
              <w:t>For example, an Agency might have an internal control that states “</w:t>
            </w:r>
            <w:r w:rsidRPr="004E0DBF">
              <w:rPr>
                <w:rFonts w:cstheme="minorHAnsi"/>
                <w:i/>
                <w:color w:val="000000"/>
              </w:rPr>
              <w:t>User access reviews shall be conducted on a semi-annual basis</w:t>
            </w:r>
            <w:r>
              <w:rPr>
                <w:rFonts w:cstheme="minorHAnsi"/>
                <w:color w:val="000000"/>
              </w:rPr>
              <w:t xml:space="preserve">”.  As part of the formal assessment, the evaluator would look to obtain evidence documented from the completed user access review.  Within the evidence, the evaluator should find evidence of approvals from managers/leadership, mentions for edits to change (removals/additions/alterations) access for particular users and ultimately, evidence documenting that the access request change was followed through and adjusted accordingly.  If the access review was not completed, than the control did not have the desired </w:t>
            </w:r>
            <w:r>
              <w:rPr>
                <w:rFonts w:cstheme="minorHAnsi"/>
                <w:color w:val="000000"/>
              </w:rPr>
              <w:lastRenderedPageBreak/>
              <w:t xml:space="preserve">outcome. </w:t>
            </w:r>
          </w:p>
        </w:tc>
        <w:tc>
          <w:tcPr>
            <w:tcW w:w="293" w:type="pct"/>
          </w:tcPr>
          <w:p w:rsidR="00C87820" w:rsidRPr="005925C6" w:rsidRDefault="00C87820" w:rsidP="001B4654">
            <w:pPr>
              <w:autoSpaceDE w:val="0"/>
              <w:autoSpaceDN w:val="0"/>
              <w:adjustRightInd w:val="0"/>
              <w:spacing w:after="0" w:line="240" w:lineRule="auto"/>
              <w:rPr>
                <w:rFonts w:cstheme="minorHAnsi"/>
                <w:color w:val="000000"/>
              </w:rPr>
            </w:pPr>
          </w:p>
        </w:tc>
        <w:tc>
          <w:tcPr>
            <w:tcW w:w="955" w:type="pct"/>
          </w:tcPr>
          <w:p w:rsidR="00C87820" w:rsidRPr="00122FAF" w:rsidRDefault="00C87820" w:rsidP="001B4654">
            <w:pPr>
              <w:autoSpaceDE w:val="0"/>
              <w:autoSpaceDN w:val="0"/>
              <w:adjustRightInd w:val="0"/>
              <w:spacing w:after="0" w:line="240" w:lineRule="auto"/>
              <w:rPr>
                <w:rFonts w:cstheme="minorHAnsi"/>
                <w:color w:val="000000"/>
              </w:rPr>
            </w:pPr>
          </w:p>
        </w:tc>
        <w:tc>
          <w:tcPr>
            <w:tcW w:w="730" w:type="pct"/>
          </w:tcPr>
          <w:p w:rsidR="00C87820" w:rsidRPr="00122FAF" w:rsidRDefault="00C87820" w:rsidP="001B4654">
            <w:pPr>
              <w:autoSpaceDE w:val="0"/>
              <w:autoSpaceDN w:val="0"/>
              <w:adjustRightInd w:val="0"/>
              <w:spacing w:after="0" w:line="240" w:lineRule="auto"/>
              <w:rPr>
                <w:rFonts w:cstheme="minorHAnsi"/>
                <w:color w:val="000000"/>
              </w:rPr>
            </w:pPr>
          </w:p>
        </w:tc>
      </w:tr>
      <w:tr w:rsidR="00C87820" w:rsidRPr="00F26424" w:rsidTr="00EF72DF">
        <w:trPr>
          <w:trHeight w:val="332"/>
        </w:trPr>
        <w:tc>
          <w:tcPr>
            <w:tcW w:w="1526" w:type="pct"/>
            <w:vMerge/>
          </w:tcPr>
          <w:p w:rsidR="00C87820" w:rsidRDefault="00C87820" w:rsidP="009E5BBC">
            <w:pPr>
              <w:spacing w:before="60" w:after="60" w:line="240" w:lineRule="auto"/>
              <w:rPr>
                <w:rFonts w:eastAsia="Calibri" w:cstheme="minorHAnsi"/>
              </w:rPr>
            </w:pPr>
          </w:p>
        </w:tc>
        <w:tc>
          <w:tcPr>
            <w:tcW w:w="1496" w:type="pct"/>
          </w:tcPr>
          <w:p w:rsidR="00C87820" w:rsidRDefault="00C87820" w:rsidP="00907133">
            <w:pPr>
              <w:autoSpaceDE w:val="0"/>
              <w:autoSpaceDN w:val="0"/>
              <w:adjustRightInd w:val="0"/>
              <w:spacing w:after="0" w:line="240" w:lineRule="auto"/>
              <w:rPr>
                <w:rFonts w:cstheme="minorHAnsi"/>
                <w:color w:val="000000"/>
              </w:rPr>
            </w:pPr>
            <w:r>
              <w:rPr>
                <w:rFonts w:cstheme="minorHAnsi"/>
                <w:color w:val="000000"/>
              </w:rPr>
              <w:t>If yes, does the Agency verify whether the desired outcome is meeting the security requirements of the systems (e.g., NIST SP 800-15)?</w:t>
            </w:r>
          </w:p>
          <w:p w:rsidR="00C87820" w:rsidRDefault="00C87820" w:rsidP="00907133">
            <w:pPr>
              <w:autoSpaceDE w:val="0"/>
              <w:autoSpaceDN w:val="0"/>
              <w:adjustRightInd w:val="0"/>
              <w:spacing w:after="0" w:line="240" w:lineRule="auto"/>
              <w:rPr>
                <w:rFonts w:cstheme="minorHAnsi"/>
                <w:color w:val="000000"/>
              </w:rPr>
            </w:pPr>
          </w:p>
          <w:p w:rsidR="00C87820" w:rsidRDefault="00C87820" w:rsidP="00907133">
            <w:pPr>
              <w:autoSpaceDE w:val="0"/>
              <w:autoSpaceDN w:val="0"/>
              <w:adjustRightInd w:val="0"/>
              <w:spacing w:after="0" w:line="240" w:lineRule="auto"/>
              <w:rPr>
                <w:rFonts w:cstheme="minorHAnsi"/>
                <w:color w:val="000000"/>
              </w:rPr>
            </w:pPr>
            <w:r>
              <w:rPr>
                <w:rFonts w:cstheme="minorHAnsi"/>
                <w:color w:val="000000"/>
              </w:rPr>
              <w:t>Additional guidance: Refer to the IT Compliance Policy for further details and specific security requirements for IT systems.</w:t>
            </w:r>
          </w:p>
        </w:tc>
        <w:tc>
          <w:tcPr>
            <w:tcW w:w="293" w:type="pct"/>
          </w:tcPr>
          <w:p w:rsidR="00C87820" w:rsidRPr="005925C6" w:rsidRDefault="00C87820" w:rsidP="001B4654">
            <w:pPr>
              <w:autoSpaceDE w:val="0"/>
              <w:autoSpaceDN w:val="0"/>
              <w:adjustRightInd w:val="0"/>
              <w:spacing w:after="0" w:line="240" w:lineRule="auto"/>
              <w:rPr>
                <w:rFonts w:cstheme="minorHAnsi"/>
                <w:color w:val="000000"/>
              </w:rPr>
            </w:pPr>
          </w:p>
        </w:tc>
        <w:tc>
          <w:tcPr>
            <w:tcW w:w="955" w:type="pct"/>
          </w:tcPr>
          <w:p w:rsidR="00C87820" w:rsidRPr="00122FAF" w:rsidRDefault="00C87820" w:rsidP="001B4654">
            <w:pPr>
              <w:autoSpaceDE w:val="0"/>
              <w:autoSpaceDN w:val="0"/>
              <w:adjustRightInd w:val="0"/>
              <w:spacing w:after="0" w:line="240" w:lineRule="auto"/>
              <w:rPr>
                <w:rFonts w:cstheme="minorHAnsi"/>
                <w:color w:val="000000"/>
              </w:rPr>
            </w:pPr>
          </w:p>
        </w:tc>
        <w:tc>
          <w:tcPr>
            <w:tcW w:w="730" w:type="pct"/>
          </w:tcPr>
          <w:p w:rsidR="00C87820" w:rsidRPr="00122FAF" w:rsidRDefault="00C87820" w:rsidP="001B4654">
            <w:pPr>
              <w:autoSpaceDE w:val="0"/>
              <w:autoSpaceDN w:val="0"/>
              <w:adjustRightInd w:val="0"/>
              <w:spacing w:after="0" w:line="240" w:lineRule="auto"/>
              <w:rPr>
                <w:rFonts w:cstheme="minorHAnsi"/>
                <w:color w:val="000000"/>
              </w:rPr>
            </w:pPr>
          </w:p>
        </w:tc>
      </w:tr>
      <w:tr w:rsidR="00C87820" w:rsidRPr="00F26424" w:rsidTr="00EF72DF">
        <w:trPr>
          <w:trHeight w:val="332"/>
        </w:trPr>
        <w:tc>
          <w:tcPr>
            <w:tcW w:w="1526" w:type="pct"/>
            <w:vMerge/>
          </w:tcPr>
          <w:p w:rsidR="00C87820" w:rsidRDefault="00C87820" w:rsidP="009E5BBC">
            <w:pPr>
              <w:spacing w:before="60" w:after="60" w:line="240" w:lineRule="auto"/>
              <w:rPr>
                <w:rFonts w:eastAsia="Calibri" w:cstheme="minorHAnsi"/>
              </w:rPr>
            </w:pPr>
          </w:p>
        </w:tc>
        <w:tc>
          <w:tcPr>
            <w:tcW w:w="1496" w:type="pct"/>
          </w:tcPr>
          <w:p w:rsidR="00C87820" w:rsidRDefault="00C87820" w:rsidP="00907133">
            <w:pPr>
              <w:autoSpaceDE w:val="0"/>
              <w:autoSpaceDN w:val="0"/>
              <w:adjustRightInd w:val="0"/>
              <w:spacing w:after="0" w:line="240" w:lineRule="auto"/>
              <w:rPr>
                <w:rFonts w:cstheme="minorHAnsi"/>
                <w:color w:val="000000"/>
              </w:rPr>
            </w:pPr>
            <w:r>
              <w:rPr>
                <w:rFonts w:cstheme="minorHAnsi"/>
                <w:color w:val="000000"/>
              </w:rPr>
              <w:t>Does the formal assessment occur at least on an annual basis?</w:t>
            </w:r>
          </w:p>
        </w:tc>
        <w:tc>
          <w:tcPr>
            <w:tcW w:w="293" w:type="pct"/>
          </w:tcPr>
          <w:p w:rsidR="00C87820" w:rsidRPr="005925C6" w:rsidRDefault="00C87820" w:rsidP="001B4654">
            <w:pPr>
              <w:autoSpaceDE w:val="0"/>
              <w:autoSpaceDN w:val="0"/>
              <w:adjustRightInd w:val="0"/>
              <w:spacing w:after="0" w:line="240" w:lineRule="auto"/>
              <w:rPr>
                <w:rFonts w:cstheme="minorHAnsi"/>
                <w:color w:val="000000"/>
              </w:rPr>
            </w:pPr>
          </w:p>
        </w:tc>
        <w:tc>
          <w:tcPr>
            <w:tcW w:w="955" w:type="pct"/>
          </w:tcPr>
          <w:p w:rsidR="00C87820" w:rsidRPr="00122FAF" w:rsidRDefault="00C87820" w:rsidP="001B4654">
            <w:pPr>
              <w:autoSpaceDE w:val="0"/>
              <w:autoSpaceDN w:val="0"/>
              <w:adjustRightInd w:val="0"/>
              <w:spacing w:after="0" w:line="240" w:lineRule="auto"/>
              <w:rPr>
                <w:rFonts w:cstheme="minorHAnsi"/>
                <w:color w:val="000000"/>
              </w:rPr>
            </w:pPr>
          </w:p>
        </w:tc>
        <w:tc>
          <w:tcPr>
            <w:tcW w:w="730" w:type="pct"/>
          </w:tcPr>
          <w:p w:rsidR="00C87820" w:rsidRPr="00122FAF" w:rsidRDefault="00C87820"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tcPr>
          <w:p w:rsidR="00F675A9" w:rsidRDefault="00903C4E" w:rsidP="009E5BBC">
            <w:pPr>
              <w:spacing w:before="60" w:after="60" w:line="240" w:lineRule="auto"/>
              <w:rPr>
                <w:rFonts w:eastAsia="Calibri" w:cstheme="minorHAnsi"/>
              </w:rPr>
            </w:pPr>
            <w:r>
              <w:rPr>
                <w:rFonts w:eastAsia="Calibri" w:cstheme="minorHAnsi"/>
              </w:rPr>
              <w:t>Establish a Risk Prioritization and Acceptance Process</w:t>
            </w:r>
          </w:p>
        </w:tc>
        <w:tc>
          <w:tcPr>
            <w:tcW w:w="1496" w:type="pct"/>
          </w:tcPr>
          <w:p w:rsidR="00FA054A" w:rsidRDefault="00907133" w:rsidP="00907133">
            <w:pPr>
              <w:autoSpaceDE w:val="0"/>
              <w:autoSpaceDN w:val="0"/>
              <w:adjustRightInd w:val="0"/>
              <w:spacing w:after="0" w:line="240" w:lineRule="auto"/>
              <w:rPr>
                <w:rFonts w:cstheme="minorHAnsi"/>
                <w:color w:val="000000"/>
              </w:rPr>
            </w:pPr>
            <w:r>
              <w:rPr>
                <w:rFonts w:cstheme="minorHAnsi"/>
                <w:color w:val="000000"/>
              </w:rPr>
              <w:t xml:space="preserve">Has </w:t>
            </w:r>
            <w:r w:rsidR="00F675A9">
              <w:rPr>
                <w:rFonts w:cstheme="minorHAnsi"/>
                <w:color w:val="000000"/>
              </w:rPr>
              <w:t xml:space="preserve">your Agency </w:t>
            </w:r>
            <w:r>
              <w:rPr>
                <w:rFonts w:cstheme="minorHAnsi"/>
                <w:color w:val="000000"/>
              </w:rPr>
              <w:t xml:space="preserve">established a process </w:t>
            </w:r>
            <w:r w:rsidR="00F675A9">
              <w:rPr>
                <w:rFonts w:cstheme="minorHAnsi"/>
                <w:color w:val="000000"/>
              </w:rPr>
              <w:t>to identify, quantify</w:t>
            </w:r>
            <w:r w:rsidR="00414F86">
              <w:rPr>
                <w:rFonts w:cstheme="minorHAnsi"/>
                <w:color w:val="000000"/>
              </w:rPr>
              <w:t xml:space="preserve"> (</w:t>
            </w:r>
            <w:r w:rsidR="00CD14AE">
              <w:rPr>
                <w:rFonts w:cstheme="minorHAnsi"/>
                <w:color w:val="000000"/>
              </w:rPr>
              <w:t>e.g</w:t>
            </w:r>
            <w:r w:rsidR="00414F86">
              <w:rPr>
                <w:rFonts w:cstheme="minorHAnsi"/>
                <w:color w:val="000000"/>
              </w:rPr>
              <w:t>., provide a description)</w:t>
            </w:r>
            <w:r w:rsidR="00F675A9">
              <w:rPr>
                <w:rFonts w:cstheme="minorHAnsi"/>
                <w:color w:val="000000"/>
              </w:rPr>
              <w:t>, and prioritize risks against the Agency defined risk acceptance criteria and (information security) objectives?</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vMerge w:val="restart"/>
          </w:tcPr>
          <w:p w:rsidR="00F675A9" w:rsidRDefault="00903C4E" w:rsidP="00636116">
            <w:pPr>
              <w:spacing w:before="60" w:after="60" w:line="240" w:lineRule="auto"/>
              <w:rPr>
                <w:rFonts w:eastAsia="Calibri" w:cstheme="minorHAnsi"/>
                <w:color w:val="C00000"/>
              </w:rPr>
            </w:pPr>
            <w:r w:rsidRPr="00903C4E">
              <w:rPr>
                <w:rFonts w:eastAsia="Calibri" w:cstheme="minorHAnsi"/>
              </w:rPr>
              <w:t xml:space="preserve">Develop a </w:t>
            </w:r>
            <w:r w:rsidR="00F675A9" w:rsidRPr="00903C4E">
              <w:rPr>
                <w:rFonts w:eastAsia="Calibri" w:cstheme="minorHAnsi"/>
              </w:rPr>
              <w:t>Plan of Action and Milestones (POAM)</w:t>
            </w:r>
            <w:r w:rsidRPr="00903C4E">
              <w:rPr>
                <w:rFonts w:eastAsia="Calibri" w:cstheme="minorHAnsi"/>
              </w:rPr>
              <w:t xml:space="preserve"> </w:t>
            </w:r>
            <w:r w:rsidR="00CF3D42">
              <w:rPr>
                <w:rFonts w:eastAsia="Calibri" w:cstheme="minorHAnsi"/>
              </w:rPr>
              <w:t xml:space="preserve">and a Corrective Action plan (CAP) </w:t>
            </w:r>
            <w:r w:rsidRPr="00903C4E">
              <w:rPr>
                <w:rFonts w:eastAsia="Calibri" w:cstheme="minorHAnsi"/>
              </w:rPr>
              <w:t>document</w:t>
            </w:r>
            <w:r w:rsidR="00CF3D42">
              <w:rPr>
                <w:rFonts w:eastAsia="Calibri" w:cstheme="minorHAnsi"/>
              </w:rPr>
              <w:t>s</w:t>
            </w:r>
          </w:p>
        </w:tc>
        <w:tc>
          <w:tcPr>
            <w:tcW w:w="1496" w:type="pct"/>
          </w:tcPr>
          <w:p w:rsidR="00F675A9" w:rsidRDefault="00F675A9" w:rsidP="00DD485B">
            <w:pPr>
              <w:autoSpaceDE w:val="0"/>
              <w:autoSpaceDN w:val="0"/>
              <w:adjustRightInd w:val="0"/>
              <w:spacing w:after="0" w:line="240" w:lineRule="auto"/>
              <w:rPr>
                <w:rFonts w:cstheme="minorHAnsi"/>
                <w:color w:val="000000"/>
              </w:rPr>
            </w:pPr>
            <w:r>
              <w:rPr>
                <w:rFonts w:cstheme="minorHAnsi"/>
                <w:color w:val="000000"/>
              </w:rPr>
              <w:t>Has the Agency developed a POAM and is this document updated at least annually?</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vMerge/>
          </w:tcPr>
          <w:p w:rsidR="00F675A9" w:rsidRDefault="00F675A9" w:rsidP="009E5BBC">
            <w:pPr>
              <w:spacing w:before="60" w:after="60" w:line="240" w:lineRule="auto"/>
              <w:rPr>
                <w:rFonts w:eastAsia="Calibri" w:cstheme="minorHAnsi"/>
                <w:color w:val="C00000"/>
              </w:rPr>
            </w:pPr>
          </w:p>
        </w:tc>
        <w:tc>
          <w:tcPr>
            <w:tcW w:w="1496" w:type="pct"/>
          </w:tcPr>
          <w:p w:rsidR="00F675A9" w:rsidRDefault="00F675A9" w:rsidP="00903C4E">
            <w:pPr>
              <w:autoSpaceDE w:val="0"/>
              <w:autoSpaceDN w:val="0"/>
              <w:adjustRightInd w:val="0"/>
              <w:spacing w:after="0" w:line="240" w:lineRule="auto"/>
              <w:rPr>
                <w:rFonts w:cstheme="minorHAnsi"/>
                <w:color w:val="000000"/>
              </w:rPr>
            </w:pPr>
            <w:r>
              <w:rPr>
                <w:rFonts w:cstheme="minorHAnsi"/>
                <w:color w:val="000000"/>
              </w:rPr>
              <w:t xml:space="preserve">Does the POAM effectively identify </w:t>
            </w:r>
            <w:r w:rsidR="00903C4E">
              <w:rPr>
                <w:rFonts w:cstheme="minorHAnsi"/>
                <w:color w:val="000000"/>
              </w:rPr>
              <w:t>gaps</w:t>
            </w:r>
            <w:r>
              <w:rPr>
                <w:rFonts w:cstheme="minorHAnsi"/>
                <w:color w:val="000000"/>
              </w:rPr>
              <w:t xml:space="preserve"> related to the </w:t>
            </w:r>
            <w:r w:rsidR="00903C4E">
              <w:rPr>
                <w:rFonts w:cstheme="minorHAnsi"/>
                <w:color w:val="000000"/>
              </w:rPr>
              <w:t>internal security controls (e.g., access management, patch management, etc.)?</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903C4E" w:rsidRPr="00F26424" w:rsidTr="00EF72DF">
        <w:trPr>
          <w:trHeight w:val="332"/>
        </w:trPr>
        <w:tc>
          <w:tcPr>
            <w:tcW w:w="1526" w:type="pct"/>
            <w:vMerge/>
          </w:tcPr>
          <w:p w:rsidR="00903C4E" w:rsidRDefault="00903C4E" w:rsidP="009E5BBC">
            <w:pPr>
              <w:spacing w:before="60" w:after="60" w:line="240" w:lineRule="auto"/>
              <w:rPr>
                <w:rFonts w:eastAsia="Calibri" w:cstheme="minorHAnsi"/>
                <w:color w:val="C00000"/>
              </w:rPr>
            </w:pPr>
          </w:p>
        </w:tc>
        <w:tc>
          <w:tcPr>
            <w:tcW w:w="1496" w:type="pct"/>
          </w:tcPr>
          <w:p w:rsidR="00903C4E" w:rsidRDefault="00903C4E" w:rsidP="00DD485B">
            <w:pPr>
              <w:autoSpaceDE w:val="0"/>
              <w:autoSpaceDN w:val="0"/>
              <w:adjustRightInd w:val="0"/>
              <w:spacing w:after="0" w:line="240" w:lineRule="auto"/>
              <w:rPr>
                <w:rFonts w:cstheme="minorHAnsi"/>
                <w:color w:val="000000"/>
              </w:rPr>
            </w:pPr>
            <w:r>
              <w:rPr>
                <w:rFonts w:cstheme="minorHAnsi"/>
                <w:color w:val="000000"/>
              </w:rPr>
              <w:t>Are remedial actions planned, implemented, or evaluated against the identified gaps?</w:t>
            </w:r>
          </w:p>
        </w:tc>
        <w:tc>
          <w:tcPr>
            <w:tcW w:w="293" w:type="pct"/>
          </w:tcPr>
          <w:p w:rsidR="00903C4E" w:rsidRPr="005925C6" w:rsidRDefault="00903C4E" w:rsidP="001B4654">
            <w:pPr>
              <w:autoSpaceDE w:val="0"/>
              <w:autoSpaceDN w:val="0"/>
              <w:adjustRightInd w:val="0"/>
              <w:spacing w:after="0" w:line="240" w:lineRule="auto"/>
              <w:rPr>
                <w:rFonts w:cstheme="minorHAnsi"/>
                <w:color w:val="000000"/>
              </w:rPr>
            </w:pPr>
          </w:p>
        </w:tc>
        <w:tc>
          <w:tcPr>
            <w:tcW w:w="955" w:type="pct"/>
          </w:tcPr>
          <w:p w:rsidR="00903C4E" w:rsidRPr="00122FAF" w:rsidRDefault="00903C4E" w:rsidP="001B4654">
            <w:pPr>
              <w:autoSpaceDE w:val="0"/>
              <w:autoSpaceDN w:val="0"/>
              <w:adjustRightInd w:val="0"/>
              <w:spacing w:after="0" w:line="240" w:lineRule="auto"/>
              <w:rPr>
                <w:rFonts w:cstheme="minorHAnsi"/>
                <w:color w:val="000000"/>
              </w:rPr>
            </w:pPr>
          </w:p>
        </w:tc>
        <w:tc>
          <w:tcPr>
            <w:tcW w:w="730" w:type="pct"/>
          </w:tcPr>
          <w:p w:rsidR="00903C4E" w:rsidRPr="00122FAF" w:rsidRDefault="00903C4E"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vMerge/>
          </w:tcPr>
          <w:p w:rsidR="00F675A9" w:rsidRDefault="00F675A9" w:rsidP="009E5BBC">
            <w:pPr>
              <w:spacing w:before="60" w:after="60" w:line="240" w:lineRule="auto"/>
              <w:rPr>
                <w:rFonts w:eastAsia="Calibri" w:cstheme="minorHAnsi"/>
                <w:color w:val="C00000"/>
              </w:rPr>
            </w:pPr>
          </w:p>
        </w:tc>
        <w:tc>
          <w:tcPr>
            <w:tcW w:w="1496" w:type="pct"/>
          </w:tcPr>
          <w:p w:rsidR="00F675A9" w:rsidRDefault="00F675A9" w:rsidP="00903C4E">
            <w:pPr>
              <w:autoSpaceDE w:val="0"/>
              <w:autoSpaceDN w:val="0"/>
              <w:adjustRightInd w:val="0"/>
              <w:spacing w:after="0" w:line="240" w:lineRule="auto"/>
              <w:rPr>
                <w:rFonts w:cstheme="minorHAnsi"/>
                <w:color w:val="000000"/>
              </w:rPr>
            </w:pPr>
            <w:r>
              <w:rPr>
                <w:rFonts w:cstheme="minorHAnsi"/>
                <w:color w:val="000000"/>
              </w:rPr>
              <w:t xml:space="preserve">Does your Agency develop and update </w:t>
            </w:r>
            <w:r w:rsidR="00903C4E">
              <w:rPr>
                <w:rFonts w:cstheme="minorHAnsi"/>
                <w:color w:val="000000"/>
              </w:rPr>
              <w:t>at least annually,</w:t>
            </w:r>
            <w:r>
              <w:rPr>
                <w:rFonts w:cstheme="minorHAnsi"/>
                <w:color w:val="000000"/>
              </w:rPr>
              <w:t xml:space="preserve"> </w:t>
            </w:r>
            <w:r w:rsidR="00903C4E">
              <w:rPr>
                <w:rFonts w:cstheme="minorHAnsi"/>
                <w:color w:val="000000"/>
              </w:rPr>
              <w:t>a Corrective Action Plan (CAP)</w:t>
            </w:r>
            <w:r>
              <w:rPr>
                <w:rFonts w:cstheme="minorHAnsi"/>
                <w:color w:val="000000"/>
              </w:rPr>
              <w:t>?</w:t>
            </w:r>
          </w:p>
          <w:p w:rsidR="00302F0A" w:rsidRDefault="00302F0A" w:rsidP="00903C4E">
            <w:pPr>
              <w:autoSpaceDE w:val="0"/>
              <w:autoSpaceDN w:val="0"/>
              <w:adjustRightInd w:val="0"/>
              <w:spacing w:after="0" w:line="240" w:lineRule="auto"/>
              <w:rPr>
                <w:rFonts w:cstheme="minorHAnsi"/>
                <w:color w:val="000000"/>
              </w:rPr>
            </w:pPr>
          </w:p>
          <w:p w:rsidR="00302F0A" w:rsidRDefault="00302F0A" w:rsidP="004E0DBF">
            <w:pPr>
              <w:rPr>
                <w:rFonts w:cstheme="minorHAnsi"/>
                <w:color w:val="000000"/>
              </w:rPr>
            </w:pPr>
            <w:r>
              <w:rPr>
                <w:rFonts w:cstheme="minorHAnsi"/>
                <w:color w:val="000000"/>
              </w:rPr>
              <w:t>Additional guidance: CAP or</w:t>
            </w:r>
            <w:r>
              <w:rPr>
                <w:rFonts w:ascii="Arial" w:hAnsi="Arial" w:cs="Arial"/>
                <w:color w:val="000000"/>
                <w:sz w:val="21"/>
                <w:szCs w:val="21"/>
                <w:shd w:val="clear" w:color="auto" w:fill="FFFFFF"/>
              </w:rPr>
              <w:t xml:space="preserve"> Correction Action Plan is a strategy for correcting or eliminating a non-conformance that has occurred in a management system. The non-conformities are usually identified during an internal audit in a firm or company or obtained from feedback given by customers as well as the staff.</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vMerge/>
          </w:tcPr>
          <w:p w:rsidR="00F675A9" w:rsidRDefault="00F675A9" w:rsidP="009E5BBC">
            <w:pPr>
              <w:spacing w:before="60" w:after="60" w:line="240" w:lineRule="auto"/>
              <w:rPr>
                <w:rFonts w:eastAsia="Calibri" w:cstheme="minorHAnsi"/>
                <w:color w:val="C00000"/>
              </w:rPr>
            </w:pPr>
          </w:p>
        </w:tc>
        <w:tc>
          <w:tcPr>
            <w:tcW w:w="1496" w:type="pct"/>
          </w:tcPr>
          <w:p w:rsidR="00F675A9" w:rsidRDefault="00F675A9" w:rsidP="008A0135">
            <w:pPr>
              <w:autoSpaceDE w:val="0"/>
              <w:autoSpaceDN w:val="0"/>
              <w:adjustRightInd w:val="0"/>
              <w:spacing w:after="0" w:line="240" w:lineRule="auto"/>
              <w:rPr>
                <w:rFonts w:cstheme="minorHAnsi"/>
                <w:color w:val="000000"/>
              </w:rPr>
            </w:pPr>
            <w:r>
              <w:rPr>
                <w:rFonts w:cstheme="minorHAnsi"/>
                <w:color w:val="000000"/>
              </w:rPr>
              <w:t xml:space="preserve">Do the POAM and the CAP address implementation of security controls to reduce or eliminate known risks </w:t>
            </w:r>
            <w:r>
              <w:rPr>
                <w:rFonts w:cstheme="minorHAnsi"/>
                <w:color w:val="000000"/>
              </w:rPr>
              <w:lastRenderedPageBreak/>
              <w:t>within the Agency’s systems?</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tcPr>
          <w:p w:rsidR="00F675A9" w:rsidRDefault="00AC703D" w:rsidP="005A7836">
            <w:pPr>
              <w:spacing w:before="60" w:after="60" w:line="240" w:lineRule="auto"/>
              <w:rPr>
                <w:rFonts w:eastAsia="Calibri" w:cstheme="minorHAnsi"/>
                <w:color w:val="C00000"/>
              </w:rPr>
            </w:pPr>
            <w:r w:rsidRPr="00AC703D">
              <w:rPr>
                <w:rFonts w:eastAsia="Calibri" w:cstheme="minorHAnsi"/>
              </w:rPr>
              <w:lastRenderedPageBreak/>
              <w:t>Appointment of an Information Security Risk Officer</w:t>
            </w:r>
          </w:p>
        </w:tc>
        <w:tc>
          <w:tcPr>
            <w:tcW w:w="1496" w:type="pct"/>
          </w:tcPr>
          <w:p w:rsidR="00F675A9" w:rsidRDefault="00F675A9" w:rsidP="00525DA2">
            <w:pPr>
              <w:autoSpaceDE w:val="0"/>
              <w:autoSpaceDN w:val="0"/>
              <w:adjustRightInd w:val="0"/>
              <w:spacing w:after="0" w:line="240" w:lineRule="auto"/>
              <w:rPr>
                <w:rFonts w:cstheme="minorHAnsi"/>
                <w:color w:val="000000"/>
              </w:rPr>
            </w:pPr>
            <w:r>
              <w:rPr>
                <w:rFonts w:cstheme="minorHAnsi"/>
                <w:color w:val="000000"/>
              </w:rPr>
              <w:t>Has the Agency appointed a senior-level executive</w:t>
            </w:r>
            <w:r w:rsidR="00CF3D42">
              <w:rPr>
                <w:rFonts w:cstheme="minorHAnsi"/>
                <w:color w:val="000000"/>
              </w:rPr>
              <w:t xml:space="preserve"> (e.g., information security risk officer or equivalent)</w:t>
            </w:r>
            <w:r>
              <w:rPr>
                <w:rFonts w:cstheme="minorHAnsi"/>
                <w:color w:val="000000"/>
              </w:rPr>
              <w:t xml:space="preserve"> to decide on the assignment of </w:t>
            </w:r>
            <w:r w:rsidR="00525DA2">
              <w:rPr>
                <w:rFonts w:cstheme="minorHAnsi"/>
                <w:color w:val="000000"/>
              </w:rPr>
              <w:t>risk remediation measures</w:t>
            </w:r>
            <w:r>
              <w:rPr>
                <w:rFonts w:cstheme="minorHAnsi"/>
                <w:color w:val="000000"/>
              </w:rPr>
              <w:t xml:space="preserve"> to </w:t>
            </w:r>
            <w:r w:rsidR="00525DA2">
              <w:rPr>
                <w:rFonts w:cstheme="minorHAnsi"/>
                <w:color w:val="000000"/>
              </w:rPr>
              <w:t xml:space="preserve">designated </w:t>
            </w:r>
            <w:r>
              <w:rPr>
                <w:rFonts w:cstheme="minorHAnsi"/>
                <w:color w:val="000000"/>
              </w:rPr>
              <w:t>Agency individuals?</w:t>
            </w:r>
          </w:p>
          <w:p w:rsidR="0006172D" w:rsidRDefault="0006172D" w:rsidP="00525DA2">
            <w:pPr>
              <w:autoSpaceDE w:val="0"/>
              <w:autoSpaceDN w:val="0"/>
              <w:adjustRightInd w:val="0"/>
              <w:spacing w:after="0" w:line="240" w:lineRule="auto"/>
              <w:rPr>
                <w:rFonts w:cstheme="minorHAnsi"/>
                <w:color w:val="000000"/>
              </w:rPr>
            </w:pPr>
          </w:p>
          <w:p w:rsidR="0006172D" w:rsidRDefault="0006172D" w:rsidP="00525DA2">
            <w:pPr>
              <w:autoSpaceDE w:val="0"/>
              <w:autoSpaceDN w:val="0"/>
              <w:adjustRightInd w:val="0"/>
              <w:spacing w:after="0" w:line="240" w:lineRule="auto"/>
              <w:rPr>
                <w:rFonts w:cstheme="minorHAnsi"/>
                <w:color w:val="000000"/>
              </w:rPr>
            </w:pPr>
            <w:r>
              <w:rPr>
                <w:rFonts w:cstheme="minorHAnsi"/>
                <w:color w:val="000000"/>
              </w:rPr>
              <w:t>(e.g., Assigning risks related to patch management to the network and applications team heads</w:t>
            </w:r>
            <w:r w:rsidR="00FA054A">
              <w:rPr>
                <w:rFonts w:cstheme="minorHAnsi"/>
                <w:color w:val="000000"/>
              </w:rPr>
              <w:t xml:space="preserve"> respectively</w:t>
            </w:r>
            <w:r>
              <w:rPr>
                <w:rFonts w:cstheme="minorHAnsi"/>
                <w:color w:val="000000"/>
              </w:rPr>
              <w:t>)</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tcPr>
          <w:p w:rsidR="00F675A9" w:rsidRDefault="001B529E" w:rsidP="001B529E">
            <w:pPr>
              <w:spacing w:before="60" w:after="60" w:line="240" w:lineRule="auto"/>
              <w:rPr>
                <w:rFonts w:eastAsia="Calibri" w:cstheme="minorHAnsi"/>
                <w:color w:val="C00000"/>
              </w:rPr>
            </w:pPr>
            <w:r w:rsidRPr="001B529E">
              <w:rPr>
                <w:rFonts w:eastAsia="Calibri" w:cstheme="minorHAnsi"/>
              </w:rPr>
              <w:t>Establish a process to Monitor Information Systems on an on-going basis</w:t>
            </w:r>
          </w:p>
        </w:tc>
        <w:tc>
          <w:tcPr>
            <w:tcW w:w="1496" w:type="pct"/>
          </w:tcPr>
          <w:p w:rsidR="00F675A9" w:rsidRDefault="00F675A9" w:rsidP="00890EA8">
            <w:pPr>
              <w:autoSpaceDE w:val="0"/>
              <w:autoSpaceDN w:val="0"/>
              <w:adjustRightInd w:val="0"/>
              <w:spacing w:after="0" w:line="240" w:lineRule="auto"/>
              <w:rPr>
                <w:rFonts w:cstheme="minorHAnsi"/>
                <w:color w:val="000000"/>
              </w:rPr>
            </w:pPr>
            <w:r>
              <w:rPr>
                <w:rFonts w:cstheme="minorHAnsi"/>
                <w:color w:val="000000"/>
              </w:rPr>
              <w:t xml:space="preserve">Has your Agency established a process to continuously monitor information systems </w:t>
            </w:r>
            <w:r w:rsidR="00890EA8">
              <w:rPr>
                <w:rFonts w:cstheme="minorHAnsi"/>
                <w:color w:val="000000"/>
              </w:rPr>
              <w:t xml:space="preserve">to ensure </w:t>
            </w:r>
            <w:r>
              <w:rPr>
                <w:rFonts w:cstheme="minorHAnsi"/>
                <w:color w:val="000000"/>
              </w:rPr>
              <w:t xml:space="preserve">controls </w:t>
            </w:r>
            <w:r w:rsidR="00890EA8">
              <w:rPr>
                <w:rFonts w:cstheme="minorHAnsi"/>
                <w:color w:val="000000"/>
              </w:rPr>
              <w:t xml:space="preserve">are </w:t>
            </w:r>
            <w:r>
              <w:rPr>
                <w:rFonts w:cstheme="minorHAnsi"/>
                <w:color w:val="000000"/>
              </w:rPr>
              <w:t>operating as intended?</w:t>
            </w:r>
          </w:p>
          <w:p w:rsidR="00890EA8" w:rsidRDefault="00890EA8" w:rsidP="00890EA8">
            <w:pPr>
              <w:autoSpaceDE w:val="0"/>
              <w:autoSpaceDN w:val="0"/>
              <w:adjustRightInd w:val="0"/>
              <w:spacing w:after="0" w:line="240" w:lineRule="auto"/>
              <w:rPr>
                <w:rFonts w:cstheme="minorHAnsi"/>
                <w:color w:val="000000"/>
              </w:rPr>
            </w:pPr>
          </w:p>
          <w:p w:rsidR="00890EA8" w:rsidRDefault="00890EA8" w:rsidP="00890EA8">
            <w:pPr>
              <w:autoSpaceDE w:val="0"/>
              <w:autoSpaceDN w:val="0"/>
              <w:adjustRightInd w:val="0"/>
              <w:spacing w:after="0" w:line="240" w:lineRule="auto"/>
              <w:rPr>
                <w:rFonts w:cstheme="minorHAnsi"/>
                <w:color w:val="000000"/>
              </w:rPr>
            </w:pPr>
            <w:r>
              <w:rPr>
                <w:rFonts w:cstheme="minorHAnsi"/>
                <w:color w:val="000000"/>
              </w:rPr>
              <w:t>(e.g., Auto-generating access logs for systems holding critical data and having a designated individual review these logs to check for irregularities, such as, failed login attempts)</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tcPr>
          <w:p w:rsidR="00F675A9" w:rsidRDefault="001B529E" w:rsidP="009E5BBC">
            <w:pPr>
              <w:spacing w:before="60" w:after="60" w:line="240" w:lineRule="auto"/>
              <w:rPr>
                <w:rFonts w:eastAsia="Calibri" w:cstheme="minorHAnsi"/>
                <w:color w:val="C00000"/>
              </w:rPr>
            </w:pPr>
            <w:r w:rsidRPr="001B529E">
              <w:rPr>
                <w:rFonts w:eastAsia="Calibri" w:cstheme="minorHAnsi"/>
              </w:rPr>
              <w:t>Establish a Risk Mitigation Process</w:t>
            </w:r>
          </w:p>
        </w:tc>
        <w:tc>
          <w:tcPr>
            <w:tcW w:w="1496" w:type="pct"/>
          </w:tcPr>
          <w:p w:rsidR="00F675A9" w:rsidRDefault="00F675A9" w:rsidP="00890EA8">
            <w:pPr>
              <w:autoSpaceDE w:val="0"/>
              <w:autoSpaceDN w:val="0"/>
              <w:adjustRightInd w:val="0"/>
              <w:spacing w:after="0" w:line="240" w:lineRule="auto"/>
              <w:rPr>
                <w:rFonts w:cstheme="minorHAnsi"/>
                <w:color w:val="000000"/>
              </w:rPr>
            </w:pPr>
            <w:r>
              <w:rPr>
                <w:rFonts w:cstheme="minorHAnsi"/>
                <w:color w:val="000000"/>
              </w:rPr>
              <w:t xml:space="preserve">Has the Agency established </w:t>
            </w:r>
            <w:r w:rsidR="001B529E">
              <w:rPr>
                <w:rFonts w:cstheme="minorHAnsi"/>
                <w:color w:val="000000"/>
              </w:rPr>
              <w:t>a process</w:t>
            </w:r>
            <w:r>
              <w:rPr>
                <w:rFonts w:cstheme="minorHAnsi"/>
                <w:color w:val="000000"/>
              </w:rPr>
              <w:t xml:space="preserve"> to convert </w:t>
            </w:r>
            <w:r w:rsidR="00890EA8">
              <w:rPr>
                <w:rFonts w:cstheme="minorHAnsi"/>
                <w:color w:val="000000"/>
              </w:rPr>
              <w:t xml:space="preserve">identified </w:t>
            </w:r>
            <w:r w:rsidR="001B529E">
              <w:rPr>
                <w:rFonts w:cstheme="minorHAnsi"/>
                <w:color w:val="000000"/>
              </w:rPr>
              <w:t>risks into</w:t>
            </w:r>
            <w:r>
              <w:rPr>
                <w:rFonts w:cstheme="minorHAnsi"/>
                <w:color w:val="000000"/>
              </w:rPr>
              <w:t xml:space="preserve"> acceptable </w:t>
            </w:r>
            <w:r w:rsidR="00890EA8">
              <w:rPr>
                <w:rFonts w:cstheme="minorHAnsi"/>
                <w:color w:val="000000"/>
              </w:rPr>
              <w:t>remediation goals</w:t>
            </w:r>
            <w:r>
              <w:rPr>
                <w:rFonts w:cstheme="minorHAnsi"/>
                <w:color w:val="000000"/>
              </w:rPr>
              <w:t>?</w:t>
            </w:r>
          </w:p>
          <w:p w:rsidR="00890EA8" w:rsidRDefault="00890EA8" w:rsidP="00890EA8">
            <w:pPr>
              <w:autoSpaceDE w:val="0"/>
              <w:autoSpaceDN w:val="0"/>
              <w:adjustRightInd w:val="0"/>
              <w:spacing w:after="0" w:line="240" w:lineRule="auto"/>
              <w:rPr>
                <w:rFonts w:cstheme="minorHAnsi"/>
                <w:color w:val="000000"/>
              </w:rPr>
            </w:pPr>
          </w:p>
          <w:p w:rsidR="00890EA8" w:rsidRDefault="00890EA8" w:rsidP="001B529E">
            <w:pPr>
              <w:autoSpaceDE w:val="0"/>
              <w:autoSpaceDN w:val="0"/>
              <w:adjustRightInd w:val="0"/>
              <w:spacing w:after="0" w:line="240" w:lineRule="auto"/>
              <w:rPr>
                <w:rFonts w:cstheme="minorHAnsi"/>
                <w:color w:val="000000"/>
              </w:rPr>
            </w:pPr>
            <w:r>
              <w:rPr>
                <w:rFonts w:cstheme="minorHAnsi"/>
                <w:color w:val="000000"/>
              </w:rPr>
              <w:t>(e.g., If access de-provisioning has been identified as a risk</w:t>
            </w:r>
            <w:r w:rsidR="001B529E">
              <w:rPr>
                <w:rFonts w:cstheme="minorHAnsi"/>
                <w:color w:val="000000"/>
              </w:rPr>
              <w:t>, where access of an individual leaving the Agency is not immediately revoked, the Agency must convert this risk into a remedial procedure wherein the required goal would be achieved)</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vMerge w:val="restart"/>
          </w:tcPr>
          <w:p w:rsidR="00F675A9" w:rsidRDefault="001B529E" w:rsidP="009E5BBC">
            <w:pPr>
              <w:spacing w:before="60" w:after="60" w:line="240" w:lineRule="auto"/>
              <w:rPr>
                <w:rFonts w:eastAsia="Calibri" w:cstheme="minorHAnsi"/>
                <w:color w:val="C00000"/>
              </w:rPr>
            </w:pPr>
            <w:r w:rsidRPr="001B529E">
              <w:rPr>
                <w:rFonts w:eastAsia="Calibri" w:cstheme="minorHAnsi"/>
              </w:rPr>
              <w:t>Establish a Risk Acceptance Process</w:t>
            </w:r>
          </w:p>
        </w:tc>
        <w:tc>
          <w:tcPr>
            <w:tcW w:w="1496" w:type="pct"/>
          </w:tcPr>
          <w:p w:rsidR="00F675A9" w:rsidRDefault="00F675A9" w:rsidP="006462A0">
            <w:pPr>
              <w:autoSpaceDE w:val="0"/>
              <w:autoSpaceDN w:val="0"/>
              <w:adjustRightInd w:val="0"/>
              <w:spacing w:after="0" w:line="240" w:lineRule="auto"/>
              <w:rPr>
                <w:rFonts w:cstheme="minorHAnsi"/>
                <w:color w:val="000000"/>
              </w:rPr>
            </w:pPr>
            <w:r>
              <w:rPr>
                <w:rFonts w:cstheme="minorHAnsi"/>
                <w:color w:val="000000"/>
              </w:rPr>
              <w:t xml:space="preserve">Has the Agency identified and documented a risk </w:t>
            </w:r>
            <w:r w:rsidR="001B529E">
              <w:rPr>
                <w:rFonts w:cstheme="minorHAnsi"/>
                <w:color w:val="000000"/>
              </w:rPr>
              <w:t>acceptance</w:t>
            </w:r>
            <w:r>
              <w:rPr>
                <w:rFonts w:cstheme="minorHAnsi"/>
                <w:color w:val="000000"/>
              </w:rPr>
              <w:t xml:space="preserve"> level for various identified threats based on business requirements?</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r w:rsidR="00F675A9" w:rsidRPr="00F26424" w:rsidTr="00EF72DF">
        <w:trPr>
          <w:trHeight w:val="332"/>
        </w:trPr>
        <w:tc>
          <w:tcPr>
            <w:tcW w:w="1526" w:type="pct"/>
            <w:vMerge/>
          </w:tcPr>
          <w:p w:rsidR="00F675A9" w:rsidRDefault="00F675A9" w:rsidP="009E5BBC">
            <w:pPr>
              <w:spacing w:before="60" w:after="60" w:line="240" w:lineRule="auto"/>
              <w:rPr>
                <w:rFonts w:eastAsia="Calibri" w:cstheme="minorHAnsi"/>
                <w:color w:val="C00000"/>
              </w:rPr>
            </w:pPr>
          </w:p>
        </w:tc>
        <w:tc>
          <w:tcPr>
            <w:tcW w:w="1496" w:type="pct"/>
          </w:tcPr>
          <w:p w:rsidR="00F675A9" w:rsidRDefault="00F675A9" w:rsidP="006462A0">
            <w:pPr>
              <w:autoSpaceDE w:val="0"/>
              <w:autoSpaceDN w:val="0"/>
              <w:adjustRightInd w:val="0"/>
              <w:spacing w:after="0" w:line="240" w:lineRule="auto"/>
              <w:rPr>
                <w:rFonts w:cstheme="minorHAnsi"/>
                <w:color w:val="000000"/>
              </w:rPr>
            </w:pPr>
            <w:r>
              <w:rPr>
                <w:rFonts w:cstheme="minorHAnsi"/>
                <w:color w:val="000000"/>
              </w:rPr>
              <w:t>Has the Agency established a process to identify the impact of a potential risk?</w:t>
            </w:r>
          </w:p>
        </w:tc>
        <w:tc>
          <w:tcPr>
            <w:tcW w:w="293" w:type="pct"/>
          </w:tcPr>
          <w:p w:rsidR="00F675A9" w:rsidRPr="005925C6" w:rsidRDefault="00F675A9" w:rsidP="001B4654">
            <w:pPr>
              <w:autoSpaceDE w:val="0"/>
              <w:autoSpaceDN w:val="0"/>
              <w:adjustRightInd w:val="0"/>
              <w:spacing w:after="0" w:line="240" w:lineRule="auto"/>
              <w:rPr>
                <w:rFonts w:cstheme="minorHAnsi"/>
                <w:color w:val="000000"/>
              </w:rPr>
            </w:pPr>
          </w:p>
        </w:tc>
        <w:tc>
          <w:tcPr>
            <w:tcW w:w="955" w:type="pct"/>
          </w:tcPr>
          <w:p w:rsidR="00F675A9" w:rsidRPr="00122FAF" w:rsidRDefault="00F675A9" w:rsidP="001B4654">
            <w:pPr>
              <w:autoSpaceDE w:val="0"/>
              <w:autoSpaceDN w:val="0"/>
              <w:adjustRightInd w:val="0"/>
              <w:spacing w:after="0" w:line="240" w:lineRule="auto"/>
              <w:rPr>
                <w:rFonts w:cstheme="minorHAnsi"/>
                <w:color w:val="000000"/>
              </w:rPr>
            </w:pPr>
          </w:p>
        </w:tc>
        <w:tc>
          <w:tcPr>
            <w:tcW w:w="730" w:type="pct"/>
          </w:tcPr>
          <w:p w:rsidR="00F675A9" w:rsidRPr="00122FAF" w:rsidRDefault="00F675A9" w:rsidP="001B4654">
            <w:pPr>
              <w:autoSpaceDE w:val="0"/>
              <w:autoSpaceDN w:val="0"/>
              <w:adjustRightInd w:val="0"/>
              <w:spacing w:after="0" w:line="240" w:lineRule="auto"/>
              <w:rPr>
                <w:rFonts w:cstheme="minorHAnsi"/>
                <w:color w:val="000000"/>
              </w:rPr>
            </w:pPr>
          </w:p>
        </w:tc>
      </w:tr>
    </w:tbl>
    <w:p w:rsidR="00903C4E" w:rsidRPr="00EE1150" w:rsidRDefault="00903C4E">
      <w:pPr>
        <w:rPr>
          <w:rFonts w:cstheme="minorHAnsi"/>
        </w:rPr>
      </w:pPr>
    </w:p>
    <w:sectPr w:rsidR="00903C4E" w:rsidRPr="00EE1150" w:rsidSect="00A26A0B">
      <w:headerReference w:type="even" r:id="rId12"/>
      <w:headerReference w:type="default" r:id="rId13"/>
      <w:footerReference w:type="default" r:id="rId14"/>
      <w:headerReference w:type="first" r:id="rId15"/>
      <w:pgSz w:w="20160" w:h="12240" w:orient="landscape"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FF" w:rsidRDefault="00CC5AFF" w:rsidP="00A26A0B">
      <w:pPr>
        <w:spacing w:after="0" w:line="240" w:lineRule="auto"/>
      </w:pPr>
      <w:r>
        <w:separator/>
      </w:r>
    </w:p>
  </w:endnote>
  <w:endnote w:type="continuationSeparator" w:id="0">
    <w:p w:rsidR="00CC5AFF" w:rsidRDefault="00CC5AFF" w:rsidP="00A2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0B" w:rsidRPr="00A26A0B" w:rsidRDefault="005924A9">
    <w:pPr>
      <w:pStyle w:val="Footer"/>
      <w:rPr>
        <w:b/>
        <w:i/>
        <w:color w:val="FF0000"/>
      </w:rPr>
    </w:pPr>
    <w:r>
      <w:t xml:space="preserve">InfoSec </w:t>
    </w:r>
    <w:r w:rsidR="00A26A0B">
      <w:t xml:space="preserve">Policy Guidance and Training </w:t>
    </w:r>
    <w:r w:rsidR="00A26A0B">
      <w:ptab w:relativeTo="margin" w:alignment="center" w:leader="none"/>
    </w:r>
    <w:r w:rsidR="00A26A0B">
      <w:t>Gap Analysis Worksheet</w:t>
    </w:r>
    <w:r w:rsidR="00A26A0B">
      <w:tab/>
    </w:r>
    <w:r w:rsidR="00A26A0B">
      <w:tab/>
    </w:r>
    <w:r w:rsidR="00A26A0B" w:rsidRPr="00A26A0B">
      <w:rPr>
        <w:b/>
        <w:i/>
        <w:color w:val="FF0000"/>
      </w:rPr>
      <w:ptab w:relativeTo="margin" w:alignment="right" w:leader="none"/>
    </w:r>
    <w:r w:rsidR="00A26A0B" w:rsidRPr="00A26A0B">
      <w:rPr>
        <w:b/>
        <w:i/>
        <w:color w:val="FF0000"/>
      </w:rPr>
      <w:t>Internal Discussion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FF" w:rsidRDefault="00CC5AFF" w:rsidP="00A26A0B">
      <w:pPr>
        <w:spacing w:after="0" w:line="240" w:lineRule="auto"/>
      </w:pPr>
      <w:r>
        <w:separator/>
      </w:r>
    </w:p>
  </w:footnote>
  <w:footnote w:type="continuationSeparator" w:id="0">
    <w:p w:rsidR="00CC5AFF" w:rsidRDefault="00CC5AFF" w:rsidP="00A26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0B" w:rsidRDefault="00536F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0B" w:rsidRDefault="00536F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0B" w:rsidRDefault="00536F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8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6B8"/>
    <w:multiLevelType w:val="hybridMultilevel"/>
    <w:tmpl w:val="3A4863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A36DF"/>
    <w:multiLevelType w:val="hybridMultilevel"/>
    <w:tmpl w:val="6FD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0E54"/>
    <w:multiLevelType w:val="hybridMultilevel"/>
    <w:tmpl w:val="E1DE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B4514"/>
    <w:multiLevelType w:val="hybridMultilevel"/>
    <w:tmpl w:val="C6E6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17CE5"/>
    <w:multiLevelType w:val="hybridMultilevel"/>
    <w:tmpl w:val="5FCED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09776E"/>
    <w:multiLevelType w:val="hybridMultilevel"/>
    <w:tmpl w:val="FB3CD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A0A07"/>
    <w:multiLevelType w:val="hybridMultilevel"/>
    <w:tmpl w:val="CDE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95F38"/>
    <w:multiLevelType w:val="hybridMultilevel"/>
    <w:tmpl w:val="88D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578A2"/>
    <w:multiLevelType w:val="hybridMultilevel"/>
    <w:tmpl w:val="880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82AB2"/>
    <w:multiLevelType w:val="hybridMultilevel"/>
    <w:tmpl w:val="541A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343BB"/>
    <w:multiLevelType w:val="multilevel"/>
    <w:tmpl w:val="AA3AF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CE50B0F"/>
    <w:multiLevelType w:val="multilevel"/>
    <w:tmpl w:val="CCFEAD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DA2F37"/>
    <w:multiLevelType w:val="hybridMultilevel"/>
    <w:tmpl w:val="3FE2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24FD7"/>
    <w:multiLevelType w:val="hybridMultilevel"/>
    <w:tmpl w:val="587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22B8F"/>
    <w:multiLevelType w:val="hybridMultilevel"/>
    <w:tmpl w:val="8854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527F0"/>
    <w:multiLevelType w:val="hybridMultilevel"/>
    <w:tmpl w:val="D5EC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33BAD"/>
    <w:multiLevelType w:val="hybridMultilevel"/>
    <w:tmpl w:val="D13E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31727"/>
    <w:multiLevelType w:val="hybridMultilevel"/>
    <w:tmpl w:val="F2D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104A9F"/>
    <w:multiLevelType w:val="hybridMultilevel"/>
    <w:tmpl w:val="F7C62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6C761E"/>
    <w:multiLevelType w:val="hybridMultilevel"/>
    <w:tmpl w:val="3EB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06D33"/>
    <w:multiLevelType w:val="hybridMultilevel"/>
    <w:tmpl w:val="F09E9D1E"/>
    <w:lvl w:ilvl="0" w:tplc="506A4DA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718B8"/>
    <w:multiLevelType w:val="hybridMultilevel"/>
    <w:tmpl w:val="0EE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2012C"/>
    <w:multiLevelType w:val="hybridMultilevel"/>
    <w:tmpl w:val="21A6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246A2"/>
    <w:multiLevelType w:val="multilevel"/>
    <w:tmpl w:val="DC5C78C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12A39C3"/>
    <w:multiLevelType w:val="hybridMultilevel"/>
    <w:tmpl w:val="703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22"/>
  </w:num>
  <w:num w:numId="5">
    <w:abstractNumId w:val="16"/>
  </w:num>
  <w:num w:numId="6">
    <w:abstractNumId w:val="0"/>
  </w:num>
  <w:num w:numId="7">
    <w:abstractNumId w:val="5"/>
  </w:num>
  <w:num w:numId="8">
    <w:abstractNumId w:val="18"/>
  </w:num>
  <w:num w:numId="9">
    <w:abstractNumId w:val="4"/>
  </w:num>
  <w:num w:numId="10">
    <w:abstractNumId w:val="23"/>
  </w:num>
  <w:num w:numId="11">
    <w:abstractNumId w:val="7"/>
  </w:num>
  <w:num w:numId="12">
    <w:abstractNumId w:val="12"/>
  </w:num>
  <w:num w:numId="13">
    <w:abstractNumId w:val="15"/>
  </w:num>
  <w:num w:numId="14">
    <w:abstractNumId w:val="6"/>
  </w:num>
  <w:num w:numId="15">
    <w:abstractNumId w:val="3"/>
  </w:num>
  <w:num w:numId="16">
    <w:abstractNumId w:val="9"/>
  </w:num>
  <w:num w:numId="17">
    <w:abstractNumId w:val="8"/>
  </w:num>
  <w:num w:numId="18">
    <w:abstractNumId w:val="24"/>
  </w:num>
  <w:num w:numId="19">
    <w:abstractNumId w:val="14"/>
  </w:num>
  <w:num w:numId="20">
    <w:abstractNumId w:val="19"/>
  </w:num>
  <w:num w:numId="21">
    <w:abstractNumId w:val="2"/>
  </w:num>
  <w:num w:numId="22">
    <w:abstractNumId w:val="17"/>
  </w:num>
  <w:num w:numId="23">
    <w:abstractNumId w:val="13"/>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EF"/>
    <w:rsid w:val="00000C11"/>
    <w:rsid w:val="00004C0D"/>
    <w:rsid w:val="000072E2"/>
    <w:rsid w:val="00010419"/>
    <w:rsid w:val="00023EC5"/>
    <w:rsid w:val="0002611A"/>
    <w:rsid w:val="00031EFB"/>
    <w:rsid w:val="00035D67"/>
    <w:rsid w:val="000473EF"/>
    <w:rsid w:val="00047537"/>
    <w:rsid w:val="000504B6"/>
    <w:rsid w:val="0006172D"/>
    <w:rsid w:val="00072B31"/>
    <w:rsid w:val="00077592"/>
    <w:rsid w:val="0008378E"/>
    <w:rsid w:val="000A1F2B"/>
    <w:rsid w:val="000A4BC1"/>
    <w:rsid w:val="000A60B1"/>
    <w:rsid w:val="000B58F9"/>
    <w:rsid w:val="000D5474"/>
    <w:rsid w:val="000E11B6"/>
    <w:rsid w:val="000E5580"/>
    <w:rsid w:val="000E5D5B"/>
    <w:rsid w:val="000E7329"/>
    <w:rsid w:val="000F1712"/>
    <w:rsid w:val="000F4431"/>
    <w:rsid w:val="00105118"/>
    <w:rsid w:val="00105A09"/>
    <w:rsid w:val="00110C13"/>
    <w:rsid w:val="001111D7"/>
    <w:rsid w:val="00117C37"/>
    <w:rsid w:val="00117ECA"/>
    <w:rsid w:val="00122FAF"/>
    <w:rsid w:val="001261BB"/>
    <w:rsid w:val="0013429F"/>
    <w:rsid w:val="00141113"/>
    <w:rsid w:val="00153FDF"/>
    <w:rsid w:val="00155176"/>
    <w:rsid w:val="0016677B"/>
    <w:rsid w:val="00171770"/>
    <w:rsid w:val="00171C8F"/>
    <w:rsid w:val="00173457"/>
    <w:rsid w:val="001855A0"/>
    <w:rsid w:val="00185D52"/>
    <w:rsid w:val="00186F34"/>
    <w:rsid w:val="00192D13"/>
    <w:rsid w:val="001A06CF"/>
    <w:rsid w:val="001A7718"/>
    <w:rsid w:val="001B0223"/>
    <w:rsid w:val="001B4654"/>
    <w:rsid w:val="001B48C5"/>
    <w:rsid w:val="001B51D6"/>
    <w:rsid w:val="001B529E"/>
    <w:rsid w:val="001B5C61"/>
    <w:rsid w:val="001C16A7"/>
    <w:rsid w:val="001D545D"/>
    <w:rsid w:val="001E0E04"/>
    <w:rsid w:val="001E3C15"/>
    <w:rsid w:val="001E7282"/>
    <w:rsid w:val="001F356C"/>
    <w:rsid w:val="002061BA"/>
    <w:rsid w:val="0021293F"/>
    <w:rsid w:val="00215FDA"/>
    <w:rsid w:val="0022004F"/>
    <w:rsid w:val="00231C71"/>
    <w:rsid w:val="00232E64"/>
    <w:rsid w:val="00233AD5"/>
    <w:rsid w:val="002370AE"/>
    <w:rsid w:val="0024593D"/>
    <w:rsid w:val="002673BF"/>
    <w:rsid w:val="00274044"/>
    <w:rsid w:val="00275219"/>
    <w:rsid w:val="0027529F"/>
    <w:rsid w:val="00276070"/>
    <w:rsid w:val="00276F63"/>
    <w:rsid w:val="00280A22"/>
    <w:rsid w:val="00281083"/>
    <w:rsid w:val="00282E80"/>
    <w:rsid w:val="002854E4"/>
    <w:rsid w:val="00295E3E"/>
    <w:rsid w:val="002A5402"/>
    <w:rsid w:val="002A5F62"/>
    <w:rsid w:val="002B660F"/>
    <w:rsid w:val="002B6D20"/>
    <w:rsid w:val="002B7D38"/>
    <w:rsid w:val="002D6372"/>
    <w:rsid w:val="002D649A"/>
    <w:rsid w:val="002E4D94"/>
    <w:rsid w:val="002E63C9"/>
    <w:rsid w:val="002F5436"/>
    <w:rsid w:val="0030071A"/>
    <w:rsid w:val="00300874"/>
    <w:rsid w:val="00302F0A"/>
    <w:rsid w:val="00306E33"/>
    <w:rsid w:val="003108F8"/>
    <w:rsid w:val="0032233D"/>
    <w:rsid w:val="0032463B"/>
    <w:rsid w:val="003348F3"/>
    <w:rsid w:val="00335431"/>
    <w:rsid w:val="00336625"/>
    <w:rsid w:val="003572DC"/>
    <w:rsid w:val="00365336"/>
    <w:rsid w:val="00367CB2"/>
    <w:rsid w:val="00370FF1"/>
    <w:rsid w:val="00371488"/>
    <w:rsid w:val="00374E61"/>
    <w:rsid w:val="0039073C"/>
    <w:rsid w:val="0039088F"/>
    <w:rsid w:val="00393304"/>
    <w:rsid w:val="003934F5"/>
    <w:rsid w:val="0039683C"/>
    <w:rsid w:val="003A1F7C"/>
    <w:rsid w:val="003A3D93"/>
    <w:rsid w:val="003A5D64"/>
    <w:rsid w:val="003B03BD"/>
    <w:rsid w:val="003B329A"/>
    <w:rsid w:val="003B33A3"/>
    <w:rsid w:val="003B4D62"/>
    <w:rsid w:val="003C11BA"/>
    <w:rsid w:val="003C17F5"/>
    <w:rsid w:val="003C25A2"/>
    <w:rsid w:val="003C5D14"/>
    <w:rsid w:val="003D23F8"/>
    <w:rsid w:val="003F3FDD"/>
    <w:rsid w:val="003F5ED7"/>
    <w:rsid w:val="003F78F0"/>
    <w:rsid w:val="00404490"/>
    <w:rsid w:val="00405DEC"/>
    <w:rsid w:val="00414F86"/>
    <w:rsid w:val="00433D1F"/>
    <w:rsid w:val="0043419A"/>
    <w:rsid w:val="00454D10"/>
    <w:rsid w:val="004672DB"/>
    <w:rsid w:val="004746C0"/>
    <w:rsid w:val="004848D3"/>
    <w:rsid w:val="0048538D"/>
    <w:rsid w:val="004901AC"/>
    <w:rsid w:val="004A4663"/>
    <w:rsid w:val="004A5FB6"/>
    <w:rsid w:val="004A6B99"/>
    <w:rsid w:val="004C58EE"/>
    <w:rsid w:val="004D1194"/>
    <w:rsid w:val="004D26C6"/>
    <w:rsid w:val="004E0DBF"/>
    <w:rsid w:val="004E2C80"/>
    <w:rsid w:val="00500C4F"/>
    <w:rsid w:val="005106A5"/>
    <w:rsid w:val="005170D8"/>
    <w:rsid w:val="0052227D"/>
    <w:rsid w:val="00525DA2"/>
    <w:rsid w:val="0053058E"/>
    <w:rsid w:val="005337D1"/>
    <w:rsid w:val="00534825"/>
    <w:rsid w:val="00534C3F"/>
    <w:rsid w:val="00535602"/>
    <w:rsid w:val="00536F12"/>
    <w:rsid w:val="00540054"/>
    <w:rsid w:val="00544DA7"/>
    <w:rsid w:val="00551E99"/>
    <w:rsid w:val="0055776C"/>
    <w:rsid w:val="00563F0C"/>
    <w:rsid w:val="00573FAB"/>
    <w:rsid w:val="00587A59"/>
    <w:rsid w:val="005924A9"/>
    <w:rsid w:val="005925C6"/>
    <w:rsid w:val="00596AA7"/>
    <w:rsid w:val="005A5366"/>
    <w:rsid w:val="005A7836"/>
    <w:rsid w:val="005B117B"/>
    <w:rsid w:val="005B463B"/>
    <w:rsid w:val="005B70A5"/>
    <w:rsid w:val="005C160C"/>
    <w:rsid w:val="005C4C9A"/>
    <w:rsid w:val="005D1044"/>
    <w:rsid w:val="005E0A1E"/>
    <w:rsid w:val="005E218E"/>
    <w:rsid w:val="005E6A71"/>
    <w:rsid w:val="005E6BC5"/>
    <w:rsid w:val="005F2904"/>
    <w:rsid w:val="005F33D5"/>
    <w:rsid w:val="005F7F82"/>
    <w:rsid w:val="00600BCD"/>
    <w:rsid w:val="00600EE1"/>
    <w:rsid w:val="00605746"/>
    <w:rsid w:val="006075EB"/>
    <w:rsid w:val="00636116"/>
    <w:rsid w:val="00636DEF"/>
    <w:rsid w:val="00637641"/>
    <w:rsid w:val="006462A0"/>
    <w:rsid w:val="006672D2"/>
    <w:rsid w:val="00667624"/>
    <w:rsid w:val="00671422"/>
    <w:rsid w:val="0067517B"/>
    <w:rsid w:val="006914E3"/>
    <w:rsid w:val="00692ED6"/>
    <w:rsid w:val="006942C2"/>
    <w:rsid w:val="006A56AA"/>
    <w:rsid w:val="006A6720"/>
    <w:rsid w:val="006B377F"/>
    <w:rsid w:val="006B4C70"/>
    <w:rsid w:val="006B63F3"/>
    <w:rsid w:val="006C0FCA"/>
    <w:rsid w:val="006C18FB"/>
    <w:rsid w:val="006C1FA1"/>
    <w:rsid w:val="006C5716"/>
    <w:rsid w:val="006D51F4"/>
    <w:rsid w:val="006D66F4"/>
    <w:rsid w:val="006D79C6"/>
    <w:rsid w:val="006E43E1"/>
    <w:rsid w:val="006E7608"/>
    <w:rsid w:val="006F667A"/>
    <w:rsid w:val="00700B93"/>
    <w:rsid w:val="00701775"/>
    <w:rsid w:val="00704408"/>
    <w:rsid w:val="00706729"/>
    <w:rsid w:val="007068CC"/>
    <w:rsid w:val="007134CB"/>
    <w:rsid w:val="00713FD4"/>
    <w:rsid w:val="00723C38"/>
    <w:rsid w:val="00731A96"/>
    <w:rsid w:val="007351FA"/>
    <w:rsid w:val="00741305"/>
    <w:rsid w:val="00747A74"/>
    <w:rsid w:val="00764A8C"/>
    <w:rsid w:val="00784A7C"/>
    <w:rsid w:val="00785CA3"/>
    <w:rsid w:val="00796EF5"/>
    <w:rsid w:val="007A1EFC"/>
    <w:rsid w:val="007B517A"/>
    <w:rsid w:val="007B6786"/>
    <w:rsid w:val="007C0C76"/>
    <w:rsid w:val="007C4911"/>
    <w:rsid w:val="007D1C85"/>
    <w:rsid w:val="007D4DB5"/>
    <w:rsid w:val="007E5691"/>
    <w:rsid w:val="007E62D2"/>
    <w:rsid w:val="007F2575"/>
    <w:rsid w:val="007F6955"/>
    <w:rsid w:val="007F7501"/>
    <w:rsid w:val="00804279"/>
    <w:rsid w:val="0081148C"/>
    <w:rsid w:val="00813008"/>
    <w:rsid w:val="0083214A"/>
    <w:rsid w:val="00840466"/>
    <w:rsid w:val="00843E21"/>
    <w:rsid w:val="00852623"/>
    <w:rsid w:val="008603F5"/>
    <w:rsid w:val="00867E71"/>
    <w:rsid w:val="00870CC8"/>
    <w:rsid w:val="00871C74"/>
    <w:rsid w:val="00872D18"/>
    <w:rsid w:val="00887BBA"/>
    <w:rsid w:val="00890EA8"/>
    <w:rsid w:val="00893118"/>
    <w:rsid w:val="00894BEB"/>
    <w:rsid w:val="008A0135"/>
    <w:rsid w:val="008A37B0"/>
    <w:rsid w:val="008B6D3E"/>
    <w:rsid w:val="008C01F3"/>
    <w:rsid w:val="008C5F7B"/>
    <w:rsid w:val="008D1D89"/>
    <w:rsid w:val="008D3F1A"/>
    <w:rsid w:val="008E5C7B"/>
    <w:rsid w:val="008F1030"/>
    <w:rsid w:val="008F1543"/>
    <w:rsid w:val="00903C4E"/>
    <w:rsid w:val="00904DD6"/>
    <w:rsid w:val="00907133"/>
    <w:rsid w:val="00934A9C"/>
    <w:rsid w:val="0094113A"/>
    <w:rsid w:val="00943249"/>
    <w:rsid w:val="0094551D"/>
    <w:rsid w:val="00946F21"/>
    <w:rsid w:val="00950AA5"/>
    <w:rsid w:val="00955859"/>
    <w:rsid w:val="00955FE7"/>
    <w:rsid w:val="009647A0"/>
    <w:rsid w:val="00966F39"/>
    <w:rsid w:val="009722D1"/>
    <w:rsid w:val="009747F5"/>
    <w:rsid w:val="009877F4"/>
    <w:rsid w:val="00992143"/>
    <w:rsid w:val="00992FED"/>
    <w:rsid w:val="009B148B"/>
    <w:rsid w:val="009B3880"/>
    <w:rsid w:val="009C1FE5"/>
    <w:rsid w:val="009C5737"/>
    <w:rsid w:val="009D017B"/>
    <w:rsid w:val="009D186C"/>
    <w:rsid w:val="009D41E2"/>
    <w:rsid w:val="009D5ECB"/>
    <w:rsid w:val="009E4F84"/>
    <w:rsid w:val="009E5BBC"/>
    <w:rsid w:val="009E705A"/>
    <w:rsid w:val="009F2BB9"/>
    <w:rsid w:val="009F60EC"/>
    <w:rsid w:val="009F6A5B"/>
    <w:rsid w:val="00A013ED"/>
    <w:rsid w:val="00A01FCC"/>
    <w:rsid w:val="00A02DFA"/>
    <w:rsid w:val="00A059DD"/>
    <w:rsid w:val="00A07363"/>
    <w:rsid w:val="00A12A9B"/>
    <w:rsid w:val="00A1607C"/>
    <w:rsid w:val="00A22B7B"/>
    <w:rsid w:val="00A239E5"/>
    <w:rsid w:val="00A2482D"/>
    <w:rsid w:val="00A24832"/>
    <w:rsid w:val="00A26A0B"/>
    <w:rsid w:val="00A33409"/>
    <w:rsid w:val="00A40ED3"/>
    <w:rsid w:val="00A46437"/>
    <w:rsid w:val="00A63ED4"/>
    <w:rsid w:val="00A706B2"/>
    <w:rsid w:val="00A7393A"/>
    <w:rsid w:val="00A7443F"/>
    <w:rsid w:val="00A90426"/>
    <w:rsid w:val="00A966CE"/>
    <w:rsid w:val="00A97595"/>
    <w:rsid w:val="00AA1055"/>
    <w:rsid w:val="00AA69C0"/>
    <w:rsid w:val="00AB47E7"/>
    <w:rsid w:val="00AB50F6"/>
    <w:rsid w:val="00AC1967"/>
    <w:rsid w:val="00AC703D"/>
    <w:rsid w:val="00AD1D26"/>
    <w:rsid w:val="00AD7F19"/>
    <w:rsid w:val="00AE2307"/>
    <w:rsid w:val="00AE27C6"/>
    <w:rsid w:val="00AE3CCA"/>
    <w:rsid w:val="00AE65A4"/>
    <w:rsid w:val="00B03614"/>
    <w:rsid w:val="00B05E8A"/>
    <w:rsid w:val="00B1627C"/>
    <w:rsid w:val="00B16837"/>
    <w:rsid w:val="00B20860"/>
    <w:rsid w:val="00B21537"/>
    <w:rsid w:val="00B23A4A"/>
    <w:rsid w:val="00B248D0"/>
    <w:rsid w:val="00B27CE2"/>
    <w:rsid w:val="00B323F2"/>
    <w:rsid w:val="00B356D3"/>
    <w:rsid w:val="00B4237B"/>
    <w:rsid w:val="00B43D5D"/>
    <w:rsid w:val="00B45153"/>
    <w:rsid w:val="00B45C2B"/>
    <w:rsid w:val="00B55CF1"/>
    <w:rsid w:val="00B55E15"/>
    <w:rsid w:val="00B56C10"/>
    <w:rsid w:val="00B71B1F"/>
    <w:rsid w:val="00B72242"/>
    <w:rsid w:val="00B72A7D"/>
    <w:rsid w:val="00B74FC2"/>
    <w:rsid w:val="00B75278"/>
    <w:rsid w:val="00B81A72"/>
    <w:rsid w:val="00B84F54"/>
    <w:rsid w:val="00B87059"/>
    <w:rsid w:val="00B92821"/>
    <w:rsid w:val="00B9462B"/>
    <w:rsid w:val="00BB5C59"/>
    <w:rsid w:val="00BB6789"/>
    <w:rsid w:val="00BC1B70"/>
    <w:rsid w:val="00BC32C8"/>
    <w:rsid w:val="00BC77B6"/>
    <w:rsid w:val="00BD1800"/>
    <w:rsid w:val="00BD3BF4"/>
    <w:rsid w:val="00BF467A"/>
    <w:rsid w:val="00BF49DC"/>
    <w:rsid w:val="00BF5AB0"/>
    <w:rsid w:val="00C06B18"/>
    <w:rsid w:val="00C10138"/>
    <w:rsid w:val="00C15DEE"/>
    <w:rsid w:val="00C17A1D"/>
    <w:rsid w:val="00C204F1"/>
    <w:rsid w:val="00C233CF"/>
    <w:rsid w:val="00C250E2"/>
    <w:rsid w:val="00C32963"/>
    <w:rsid w:val="00C34AF5"/>
    <w:rsid w:val="00C35DCE"/>
    <w:rsid w:val="00C40066"/>
    <w:rsid w:val="00C42F65"/>
    <w:rsid w:val="00C515DD"/>
    <w:rsid w:val="00C64DB4"/>
    <w:rsid w:val="00C6599F"/>
    <w:rsid w:val="00C6777F"/>
    <w:rsid w:val="00C76665"/>
    <w:rsid w:val="00C773D2"/>
    <w:rsid w:val="00C87820"/>
    <w:rsid w:val="00C91A0C"/>
    <w:rsid w:val="00C92E32"/>
    <w:rsid w:val="00C932C8"/>
    <w:rsid w:val="00C939B8"/>
    <w:rsid w:val="00C9592F"/>
    <w:rsid w:val="00C96E02"/>
    <w:rsid w:val="00CA00C2"/>
    <w:rsid w:val="00CA1A55"/>
    <w:rsid w:val="00CB69A4"/>
    <w:rsid w:val="00CC4F7F"/>
    <w:rsid w:val="00CC5219"/>
    <w:rsid w:val="00CC5AFF"/>
    <w:rsid w:val="00CD14AE"/>
    <w:rsid w:val="00CE0179"/>
    <w:rsid w:val="00CF3D42"/>
    <w:rsid w:val="00CF5A5C"/>
    <w:rsid w:val="00D153BC"/>
    <w:rsid w:val="00D1595C"/>
    <w:rsid w:val="00D254B9"/>
    <w:rsid w:val="00D27922"/>
    <w:rsid w:val="00D448F1"/>
    <w:rsid w:val="00D44B39"/>
    <w:rsid w:val="00D501A3"/>
    <w:rsid w:val="00D50E7F"/>
    <w:rsid w:val="00D520D1"/>
    <w:rsid w:val="00D60A23"/>
    <w:rsid w:val="00D62345"/>
    <w:rsid w:val="00D633A3"/>
    <w:rsid w:val="00D70B91"/>
    <w:rsid w:val="00D71E70"/>
    <w:rsid w:val="00D742CE"/>
    <w:rsid w:val="00D764CA"/>
    <w:rsid w:val="00D8105E"/>
    <w:rsid w:val="00D90575"/>
    <w:rsid w:val="00D91918"/>
    <w:rsid w:val="00D93363"/>
    <w:rsid w:val="00DA4F60"/>
    <w:rsid w:val="00DA4F7C"/>
    <w:rsid w:val="00DA62F9"/>
    <w:rsid w:val="00DA6CC9"/>
    <w:rsid w:val="00DA6D63"/>
    <w:rsid w:val="00DB6D5B"/>
    <w:rsid w:val="00DD285B"/>
    <w:rsid w:val="00DD485B"/>
    <w:rsid w:val="00DD61A2"/>
    <w:rsid w:val="00DE4EB7"/>
    <w:rsid w:val="00DE5149"/>
    <w:rsid w:val="00DE7851"/>
    <w:rsid w:val="00DE7F3D"/>
    <w:rsid w:val="00DF15E6"/>
    <w:rsid w:val="00DF6E3A"/>
    <w:rsid w:val="00E13FA3"/>
    <w:rsid w:val="00E16373"/>
    <w:rsid w:val="00E237D3"/>
    <w:rsid w:val="00E4462D"/>
    <w:rsid w:val="00E44ABA"/>
    <w:rsid w:val="00E459C2"/>
    <w:rsid w:val="00E478C5"/>
    <w:rsid w:val="00E51250"/>
    <w:rsid w:val="00E54EBB"/>
    <w:rsid w:val="00E932E1"/>
    <w:rsid w:val="00E9366B"/>
    <w:rsid w:val="00E94102"/>
    <w:rsid w:val="00E95375"/>
    <w:rsid w:val="00EA767B"/>
    <w:rsid w:val="00EC1944"/>
    <w:rsid w:val="00EC2BFA"/>
    <w:rsid w:val="00ED1A8E"/>
    <w:rsid w:val="00ED3EF5"/>
    <w:rsid w:val="00ED52EF"/>
    <w:rsid w:val="00ED588F"/>
    <w:rsid w:val="00EE1150"/>
    <w:rsid w:val="00EE4A36"/>
    <w:rsid w:val="00EF72DF"/>
    <w:rsid w:val="00F00758"/>
    <w:rsid w:val="00F02EEC"/>
    <w:rsid w:val="00F15750"/>
    <w:rsid w:val="00F23B45"/>
    <w:rsid w:val="00F24A45"/>
    <w:rsid w:val="00F26424"/>
    <w:rsid w:val="00F311BB"/>
    <w:rsid w:val="00F313FC"/>
    <w:rsid w:val="00F323A9"/>
    <w:rsid w:val="00F4124B"/>
    <w:rsid w:val="00F51906"/>
    <w:rsid w:val="00F632E2"/>
    <w:rsid w:val="00F64D3D"/>
    <w:rsid w:val="00F66D1C"/>
    <w:rsid w:val="00F675A9"/>
    <w:rsid w:val="00F71A09"/>
    <w:rsid w:val="00F856CE"/>
    <w:rsid w:val="00FA054A"/>
    <w:rsid w:val="00FA509D"/>
    <w:rsid w:val="00FA5892"/>
    <w:rsid w:val="00FB6898"/>
    <w:rsid w:val="00FB6C6A"/>
    <w:rsid w:val="00FD3FAD"/>
    <w:rsid w:val="00FE00FD"/>
    <w:rsid w:val="00FE1C21"/>
    <w:rsid w:val="00FE1DA0"/>
    <w:rsid w:val="00FE2AB2"/>
    <w:rsid w:val="00FE2BBB"/>
    <w:rsid w:val="00FE7338"/>
    <w:rsid w:val="00FF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98F0B2DA9654AB466AD9256FEC5F0" ma:contentTypeVersion="2" ma:contentTypeDescription="Create a new document." ma:contentTypeScope="" ma:versionID="d05c4394b664d01b12b24eb0761647ef">
  <xsd:schema xmlns:xsd="http://www.w3.org/2001/XMLSchema" xmlns:p="http://schemas.microsoft.com/office/2006/metadata/properties" xmlns:ns1="http://schemas.microsoft.com/sharepoint/v3" targetNamespace="http://schemas.microsoft.com/office/2006/metadata/properties" ma:root="true" ma:fieldsID="12143f4d21603ca1640c334198ad6f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D21D-8886-49C1-B982-FE0E9C7BB80D}">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http://purl.org/dc/dcmitype/"/>
  </ds:schemaRefs>
</ds:datastoreItem>
</file>

<file path=customXml/itemProps2.xml><?xml version="1.0" encoding="utf-8"?>
<ds:datastoreItem xmlns:ds="http://schemas.openxmlformats.org/officeDocument/2006/customXml" ds:itemID="{785F5CFD-FB94-42A8-9152-552556C2B392}">
  <ds:schemaRefs>
    <ds:schemaRef ds:uri="http://schemas.microsoft.com/sharepoint/v3/contenttype/forms"/>
  </ds:schemaRefs>
</ds:datastoreItem>
</file>

<file path=customXml/itemProps3.xml><?xml version="1.0" encoding="utf-8"?>
<ds:datastoreItem xmlns:ds="http://schemas.openxmlformats.org/officeDocument/2006/customXml" ds:itemID="{276931F7-874C-4C0B-8F63-8CCEC23D4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36C3F8-C7C1-4AE0-A368-9FDC5C7F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Lukic, Natasa</dc:creator>
  <cp:lastModifiedBy>Shelton, Michael</cp:lastModifiedBy>
  <cp:revision>2</cp:revision>
  <dcterms:created xsi:type="dcterms:W3CDTF">2015-06-05T20:05:00Z</dcterms:created>
  <dcterms:modified xsi:type="dcterms:W3CDTF">2015-06-05T20:05:00Z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0x01010013E98F0B2DA9654AB466AD9256FEC5F0</vt:lpwstr>
  </property>
</Properties>
</file>