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7E" w:rsidRDefault="00E03D7E" w:rsidP="004411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bookmarkStart w:id="0" w:name="_GoBack"/>
      <w:bookmarkEnd w:id="0"/>
      <w:r>
        <w:rPr>
          <w:rFonts w:cstheme="minorHAnsi"/>
          <w:b/>
          <w:bCs/>
          <w:color w:val="000000"/>
        </w:rPr>
        <w:t xml:space="preserve">Policy Implementation </w:t>
      </w:r>
      <w:r w:rsidR="0044119C">
        <w:rPr>
          <w:rFonts w:cstheme="minorHAnsi"/>
          <w:b/>
          <w:bCs/>
          <w:color w:val="000000"/>
        </w:rPr>
        <w:t>Plan</w:t>
      </w:r>
      <w:r w:rsidR="0044119C" w:rsidRPr="002914FD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of Action </w:t>
      </w:r>
    </w:p>
    <w:p w:rsidR="006D01B5" w:rsidRDefault="00E03D7E" w:rsidP="004411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[Insert Policy Name]</w:t>
      </w:r>
    </w:p>
    <w:p w:rsidR="006D01B5" w:rsidRDefault="006D01B5" w:rsidP="004411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C83A44" w:rsidRDefault="006D01B5" w:rsidP="006D0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5260">
        <w:rPr>
          <w:rFonts w:cstheme="minorHAnsi"/>
          <w:color w:val="000000"/>
        </w:rPr>
        <w:t xml:space="preserve">The below </w:t>
      </w:r>
      <w:r w:rsidR="00E03D7E" w:rsidRPr="00EF5260">
        <w:rPr>
          <w:rFonts w:cstheme="minorHAnsi"/>
          <w:color w:val="000000"/>
        </w:rPr>
        <w:t>Policy Implementation Plan</w:t>
      </w:r>
      <w:r w:rsidRPr="00EF5260">
        <w:rPr>
          <w:rFonts w:cstheme="minorHAnsi"/>
          <w:color w:val="000000"/>
        </w:rPr>
        <w:t xml:space="preserve"> </w:t>
      </w:r>
      <w:r w:rsidR="0032035C" w:rsidRPr="00EF5260">
        <w:rPr>
          <w:rFonts w:cstheme="minorHAnsi"/>
          <w:color w:val="000000"/>
        </w:rPr>
        <w:t xml:space="preserve">of Action </w:t>
      </w:r>
      <w:r w:rsidRPr="00EF5260">
        <w:rPr>
          <w:rFonts w:cstheme="minorHAnsi"/>
          <w:color w:val="000000"/>
        </w:rPr>
        <w:t xml:space="preserve">is developed based on the feedback provided by the policy implementation team of the (SC State Agency).   The </w:t>
      </w:r>
      <w:r w:rsidR="004C58EE" w:rsidRPr="00EF5260">
        <w:rPr>
          <w:rFonts w:cstheme="minorHAnsi"/>
          <w:color w:val="000000"/>
        </w:rPr>
        <w:t>table references the policy</w:t>
      </w:r>
      <w:r w:rsidR="00E03D7E" w:rsidRPr="00EF5260">
        <w:rPr>
          <w:rFonts w:cstheme="minorHAnsi"/>
          <w:color w:val="000000"/>
        </w:rPr>
        <w:t xml:space="preserve"> clauses</w:t>
      </w:r>
      <w:r w:rsidRPr="00EF5260">
        <w:rPr>
          <w:rFonts w:cstheme="minorHAnsi"/>
          <w:color w:val="000000"/>
        </w:rPr>
        <w:t xml:space="preserve">, </w:t>
      </w:r>
      <w:r w:rsidR="00E03D7E" w:rsidRPr="00EF5260">
        <w:rPr>
          <w:rFonts w:cstheme="minorHAnsi"/>
          <w:color w:val="000000"/>
        </w:rPr>
        <w:t>gaps identified through the gap analysis, implementation challenges and implementation strategy</w:t>
      </w:r>
      <w:r w:rsidR="004C58EE" w:rsidRPr="00EF5260">
        <w:rPr>
          <w:rFonts w:cstheme="minorHAnsi"/>
          <w:color w:val="000000"/>
        </w:rPr>
        <w:t xml:space="preserve"> which the (SC State Agency) </w:t>
      </w:r>
      <w:r w:rsidR="00E03D7E" w:rsidRPr="00EF5260">
        <w:rPr>
          <w:rFonts w:cstheme="minorHAnsi"/>
          <w:color w:val="000000"/>
        </w:rPr>
        <w:t>will</w:t>
      </w:r>
      <w:r w:rsidR="00E03D7E">
        <w:rPr>
          <w:rFonts w:cstheme="minorHAnsi"/>
          <w:color w:val="000000"/>
        </w:rPr>
        <w:t xml:space="preserve"> develop and implement </w:t>
      </w:r>
      <w:r w:rsidR="0032035C">
        <w:rPr>
          <w:rFonts w:cstheme="minorHAnsi"/>
          <w:color w:val="000000"/>
        </w:rPr>
        <w:t xml:space="preserve">in their environment. </w:t>
      </w:r>
    </w:p>
    <w:p w:rsidR="0032035C" w:rsidRDefault="0032035C" w:rsidP="006D0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83A44" w:rsidRPr="00F26424" w:rsidRDefault="00C83A44" w:rsidP="00C83A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6424">
        <w:rPr>
          <w:rFonts w:cstheme="minorHAnsi"/>
          <w:color w:val="000000"/>
        </w:rPr>
        <w:t>Status Legend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</w:tblGrid>
      <w:tr w:rsidR="00C83A44" w:rsidRPr="00F26424" w:rsidTr="00B167C9">
        <w:trPr>
          <w:trHeight w:val="353"/>
        </w:trPr>
        <w:tc>
          <w:tcPr>
            <w:tcW w:w="3676" w:type="dxa"/>
          </w:tcPr>
          <w:p w:rsidR="00C83A44" w:rsidRPr="00F26424" w:rsidRDefault="00C83A44" w:rsidP="00B167C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914FD">
              <w:rPr>
                <w:rFonts w:cstheme="minorHAnsi"/>
                <w:color w:val="000000"/>
              </w:rPr>
              <w:t>‘</w:t>
            </w:r>
            <w:r w:rsidRPr="00F26424">
              <w:rPr>
                <w:rFonts w:cstheme="minorHAnsi"/>
                <w:color w:val="000000"/>
              </w:rPr>
              <w:t xml:space="preserve">IP’  = ‘In Progress’ </w:t>
            </w:r>
          </w:p>
          <w:p w:rsidR="00C83A44" w:rsidRPr="00F26424" w:rsidRDefault="00C83A44" w:rsidP="00B167C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26424">
              <w:rPr>
                <w:rFonts w:cstheme="minorHAnsi"/>
                <w:color w:val="000000"/>
              </w:rPr>
              <w:t>‘SAR’ = ‘Specific Action is Required’</w:t>
            </w:r>
          </w:p>
          <w:p w:rsidR="00C83A44" w:rsidRPr="00F26424" w:rsidRDefault="00C83A44" w:rsidP="00B167C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26424">
              <w:rPr>
                <w:rFonts w:cstheme="minorHAnsi"/>
                <w:color w:val="000000"/>
              </w:rPr>
              <w:t>‘IM’ = ‘Implemented’</w:t>
            </w:r>
          </w:p>
        </w:tc>
      </w:tr>
    </w:tbl>
    <w:p w:rsidR="00380A86" w:rsidRPr="00F26424" w:rsidRDefault="00380A86" w:rsidP="006D01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leGrid"/>
        <w:tblW w:w="5369" w:type="pct"/>
        <w:tblLook w:val="04A0" w:firstRow="1" w:lastRow="0" w:firstColumn="1" w:lastColumn="0" w:noHBand="0" w:noVBand="1"/>
      </w:tblPr>
      <w:tblGrid>
        <w:gridCol w:w="2344"/>
        <w:gridCol w:w="2323"/>
        <w:gridCol w:w="2791"/>
        <w:gridCol w:w="3858"/>
        <w:gridCol w:w="1157"/>
        <w:gridCol w:w="1023"/>
        <w:gridCol w:w="1116"/>
      </w:tblGrid>
      <w:tr w:rsidR="005C73E1" w:rsidRPr="00352111" w:rsidTr="005C73E1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9999"/>
          </w:tcPr>
          <w:p w:rsidR="005C73E1" w:rsidRPr="00352111" w:rsidRDefault="005C73E1" w:rsidP="00380A86">
            <w:pPr>
              <w:pStyle w:val="Defaul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52111">
              <w:rPr>
                <w:b/>
                <w:color w:val="FFFFFF" w:themeColor="background1"/>
                <w:sz w:val="20"/>
                <w:szCs w:val="20"/>
              </w:rPr>
              <w:t>Action Plan</w:t>
            </w:r>
          </w:p>
          <w:p w:rsidR="005C73E1" w:rsidRPr="00352111" w:rsidRDefault="005C73E1" w:rsidP="00380A86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5C73E1" w:rsidRPr="00352111" w:rsidTr="005C73E1">
        <w:tc>
          <w:tcPr>
            <w:tcW w:w="802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C73E1" w:rsidRPr="00352111" w:rsidRDefault="005C73E1" w:rsidP="00380A86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352111">
              <w:rPr>
                <w:color w:val="FFFFFF" w:themeColor="background1"/>
                <w:sz w:val="20"/>
                <w:szCs w:val="20"/>
              </w:rPr>
              <w:t xml:space="preserve">Related Policy Clause 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C73E1" w:rsidRPr="00352111" w:rsidRDefault="005C73E1" w:rsidP="00380A86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352111">
              <w:rPr>
                <w:color w:val="FFFFFF" w:themeColor="background1"/>
                <w:sz w:val="20"/>
                <w:szCs w:val="20"/>
              </w:rPr>
              <w:t>Current Gaps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C73E1" w:rsidRPr="00352111" w:rsidRDefault="005C73E1" w:rsidP="001E3517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352111">
              <w:rPr>
                <w:color w:val="FFFFFF" w:themeColor="background1"/>
                <w:sz w:val="20"/>
                <w:szCs w:val="20"/>
              </w:rPr>
              <w:t xml:space="preserve">Implementation Challenges </w:t>
            </w:r>
          </w:p>
        </w:tc>
        <w:tc>
          <w:tcPr>
            <w:tcW w:w="132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C73E1" w:rsidRPr="00352111" w:rsidRDefault="005C73E1" w:rsidP="00380A86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352111">
              <w:rPr>
                <w:color w:val="FFFFFF" w:themeColor="background1"/>
                <w:sz w:val="20"/>
                <w:szCs w:val="20"/>
              </w:rPr>
              <w:t>Implementation Strategy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C73E1" w:rsidRPr="00352111" w:rsidRDefault="005C73E1" w:rsidP="00380A86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352111">
              <w:rPr>
                <w:color w:val="FFFFFF" w:themeColor="background1"/>
                <w:sz w:val="20"/>
                <w:szCs w:val="20"/>
              </w:rPr>
              <w:t xml:space="preserve">Lead 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C73E1" w:rsidRPr="00352111" w:rsidRDefault="005C73E1" w:rsidP="00380A86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Status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000000" w:themeFill="text1"/>
          </w:tcPr>
          <w:p w:rsidR="005C73E1" w:rsidRPr="00352111" w:rsidRDefault="005C73E1" w:rsidP="00380A86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352111">
              <w:rPr>
                <w:color w:val="FFFFFF" w:themeColor="background1"/>
                <w:sz w:val="20"/>
                <w:szCs w:val="20"/>
              </w:rPr>
              <w:t>Due Date</w:t>
            </w:r>
          </w:p>
        </w:tc>
      </w:tr>
      <w:tr w:rsidR="005C73E1" w:rsidRPr="00352111" w:rsidTr="005C73E1">
        <w:tc>
          <w:tcPr>
            <w:tcW w:w="802" w:type="pct"/>
            <w:shd w:val="clear" w:color="auto" w:fill="FBD4B4" w:themeFill="accent6" w:themeFillTint="66"/>
          </w:tcPr>
          <w:p w:rsidR="005C73E1" w:rsidRPr="00352111" w:rsidRDefault="005C73E1" w:rsidP="00380A86">
            <w:pPr>
              <w:pStyle w:val="Default"/>
              <w:rPr>
                <w:sz w:val="20"/>
                <w:szCs w:val="20"/>
              </w:rPr>
            </w:pPr>
            <w:r w:rsidRPr="008070CB">
              <w:rPr>
                <w:b/>
                <w:color w:val="FF0000"/>
                <w:sz w:val="20"/>
                <w:szCs w:val="20"/>
              </w:rPr>
              <w:t>SAMPLE ENTRY</w:t>
            </w:r>
            <w:r w:rsidRPr="00352111">
              <w:rPr>
                <w:sz w:val="20"/>
                <w:szCs w:val="20"/>
              </w:rPr>
              <w:br/>
              <w:t>1.1 Periodically</w:t>
            </w:r>
            <w:r w:rsidRPr="00352111">
              <w:rPr>
                <w:rFonts w:eastAsia="Calibri" w:cstheme="minorHAnsi"/>
                <w:sz w:val="20"/>
                <w:szCs w:val="20"/>
              </w:rPr>
              <w:t xml:space="preserve"> revalidate asset inventory to ensure accurate classification.</w:t>
            </w:r>
          </w:p>
        </w:tc>
        <w:tc>
          <w:tcPr>
            <w:tcW w:w="795" w:type="pct"/>
            <w:shd w:val="clear" w:color="auto" w:fill="FBD4B4" w:themeFill="accent6" w:themeFillTint="66"/>
          </w:tcPr>
          <w:p w:rsidR="005C73E1" w:rsidRPr="00352111" w:rsidRDefault="005C73E1" w:rsidP="00D335FD">
            <w:pPr>
              <w:pStyle w:val="Default"/>
              <w:rPr>
                <w:sz w:val="20"/>
                <w:szCs w:val="20"/>
              </w:rPr>
            </w:pPr>
            <w:r w:rsidRPr="008070CB">
              <w:rPr>
                <w:b/>
                <w:color w:val="FF0000"/>
                <w:sz w:val="20"/>
                <w:szCs w:val="20"/>
              </w:rPr>
              <w:t>SAMPLE ENTRY</w:t>
            </w:r>
          </w:p>
          <w:p w:rsidR="005C73E1" w:rsidRPr="00352111" w:rsidRDefault="005C73E1" w:rsidP="00D335FD">
            <w:pPr>
              <w:pStyle w:val="Default"/>
              <w:rPr>
                <w:sz w:val="20"/>
                <w:szCs w:val="20"/>
              </w:rPr>
            </w:pPr>
            <w:r w:rsidRPr="00352111">
              <w:rPr>
                <w:sz w:val="20"/>
                <w:szCs w:val="20"/>
              </w:rPr>
              <w:t xml:space="preserve">Asset inventory is not updated and validated periodically. </w:t>
            </w:r>
          </w:p>
        </w:tc>
        <w:tc>
          <w:tcPr>
            <w:tcW w:w="955" w:type="pct"/>
            <w:shd w:val="clear" w:color="auto" w:fill="FBD4B4" w:themeFill="accent6" w:themeFillTint="66"/>
          </w:tcPr>
          <w:p w:rsidR="005C73E1" w:rsidRPr="00352111" w:rsidRDefault="005C73E1" w:rsidP="001E3517">
            <w:pPr>
              <w:pStyle w:val="Default"/>
              <w:rPr>
                <w:sz w:val="20"/>
                <w:szCs w:val="20"/>
              </w:rPr>
            </w:pPr>
            <w:r w:rsidRPr="008070CB">
              <w:rPr>
                <w:b/>
                <w:color w:val="FF0000"/>
                <w:sz w:val="20"/>
                <w:szCs w:val="20"/>
              </w:rPr>
              <w:t>SAMPLE ENTRY</w:t>
            </w:r>
          </w:p>
          <w:p w:rsidR="005C73E1" w:rsidRPr="00352111" w:rsidRDefault="005C73E1" w:rsidP="001E3517">
            <w:pPr>
              <w:pStyle w:val="Default"/>
              <w:rPr>
                <w:sz w:val="20"/>
                <w:szCs w:val="20"/>
              </w:rPr>
            </w:pPr>
            <w:r w:rsidRPr="00352111">
              <w:rPr>
                <w:sz w:val="20"/>
                <w:szCs w:val="20"/>
              </w:rPr>
              <w:t>Process has not been implemented to update and validate the asset inventory.</w:t>
            </w:r>
          </w:p>
        </w:tc>
        <w:tc>
          <w:tcPr>
            <w:tcW w:w="1320" w:type="pct"/>
            <w:shd w:val="clear" w:color="auto" w:fill="FBD4B4" w:themeFill="accent6" w:themeFillTint="66"/>
          </w:tcPr>
          <w:p w:rsidR="005C73E1" w:rsidRDefault="005C73E1" w:rsidP="008070CB">
            <w:pPr>
              <w:pStyle w:val="Default"/>
              <w:rPr>
                <w:sz w:val="20"/>
                <w:szCs w:val="20"/>
              </w:rPr>
            </w:pPr>
            <w:r w:rsidRPr="008070CB">
              <w:rPr>
                <w:b/>
                <w:color w:val="FF0000"/>
                <w:sz w:val="20"/>
                <w:szCs w:val="20"/>
              </w:rPr>
              <w:t>SAMPLE ENTRY</w:t>
            </w:r>
          </w:p>
          <w:p w:rsidR="005C73E1" w:rsidRPr="00352111" w:rsidRDefault="005C73E1" w:rsidP="00B5504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52111">
              <w:rPr>
                <w:sz w:val="20"/>
                <w:szCs w:val="20"/>
              </w:rPr>
              <w:t>Define process for asset inventory update.</w:t>
            </w:r>
          </w:p>
          <w:p w:rsidR="005C73E1" w:rsidRPr="00352111" w:rsidRDefault="005C73E1" w:rsidP="00B5504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52111">
              <w:rPr>
                <w:sz w:val="20"/>
                <w:szCs w:val="20"/>
              </w:rPr>
              <w:t>Designate personnel responsible for asset inventory update.</w:t>
            </w:r>
          </w:p>
          <w:p w:rsidR="005C73E1" w:rsidRPr="00352111" w:rsidRDefault="005C73E1" w:rsidP="00B5504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52111">
              <w:rPr>
                <w:sz w:val="20"/>
                <w:szCs w:val="20"/>
              </w:rPr>
              <w:t>Designate personnel responsible for validation of asset inventory updates.</w:t>
            </w:r>
          </w:p>
          <w:p w:rsidR="005C73E1" w:rsidRPr="00352111" w:rsidRDefault="005C73E1" w:rsidP="00B5504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52111">
              <w:rPr>
                <w:sz w:val="20"/>
                <w:szCs w:val="20"/>
              </w:rPr>
              <w:t xml:space="preserve">Establish regular asset inventory reviews. </w:t>
            </w:r>
          </w:p>
        </w:tc>
        <w:tc>
          <w:tcPr>
            <w:tcW w:w="396" w:type="pct"/>
            <w:shd w:val="clear" w:color="auto" w:fill="FBD4B4" w:themeFill="accent6" w:themeFillTint="66"/>
          </w:tcPr>
          <w:p w:rsidR="005C73E1" w:rsidRDefault="005C73E1" w:rsidP="00380A86">
            <w:pPr>
              <w:pStyle w:val="Default"/>
              <w:rPr>
                <w:sz w:val="20"/>
                <w:szCs w:val="20"/>
              </w:rPr>
            </w:pPr>
            <w:r w:rsidRPr="008070CB">
              <w:rPr>
                <w:b/>
                <w:color w:val="FF0000"/>
                <w:sz w:val="20"/>
                <w:szCs w:val="20"/>
              </w:rPr>
              <w:t>SAMPLE ENTRY</w:t>
            </w:r>
          </w:p>
          <w:p w:rsidR="005C73E1" w:rsidRPr="00352111" w:rsidRDefault="005C73E1" w:rsidP="00380A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Doe, Security Operations Lead</w:t>
            </w:r>
          </w:p>
        </w:tc>
        <w:tc>
          <w:tcPr>
            <w:tcW w:w="350" w:type="pct"/>
            <w:shd w:val="clear" w:color="auto" w:fill="FBD4B4" w:themeFill="accent6" w:themeFillTint="66"/>
          </w:tcPr>
          <w:p w:rsidR="005C73E1" w:rsidRDefault="005C73E1" w:rsidP="00380A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SAMPLE ENTRY</w:t>
            </w:r>
          </w:p>
          <w:p w:rsidR="005C73E1" w:rsidRPr="008070CB" w:rsidRDefault="005C73E1" w:rsidP="00380A86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5C73E1">
              <w:rPr>
                <w:sz w:val="20"/>
                <w:szCs w:val="20"/>
              </w:rPr>
              <w:t>IP</w:t>
            </w:r>
          </w:p>
        </w:tc>
        <w:tc>
          <w:tcPr>
            <w:tcW w:w="382" w:type="pct"/>
            <w:shd w:val="clear" w:color="auto" w:fill="FBD4B4" w:themeFill="accent6" w:themeFillTint="66"/>
          </w:tcPr>
          <w:p w:rsidR="005C73E1" w:rsidRDefault="005C73E1" w:rsidP="00380A86">
            <w:pPr>
              <w:pStyle w:val="Default"/>
              <w:rPr>
                <w:sz w:val="20"/>
                <w:szCs w:val="20"/>
              </w:rPr>
            </w:pPr>
            <w:r w:rsidRPr="008070CB">
              <w:rPr>
                <w:b/>
                <w:color w:val="FF0000"/>
                <w:sz w:val="20"/>
                <w:szCs w:val="20"/>
              </w:rPr>
              <w:t>SAMPLE ENTRY</w:t>
            </w:r>
          </w:p>
          <w:p w:rsidR="005C73E1" w:rsidRPr="00352111" w:rsidRDefault="005C73E1" w:rsidP="00380A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3/30/2014</w:t>
            </w:r>
          </w:p>
        </w:tc>
      </w:tr>
      <w:tr w:rsidR="005C73E1" w:rsidRPr="00352111" w:rsidTr="005C73E1">
        <w:tc>
          <w:tcPr>
            <w:tcW w:w="802" w:type="pct"/>
          </w:tcPr>
          <w:p w:rsidR="005C73E1" w:rsidRPr="00352111" w:rsidRDefault="005C73E1" w:rsidP="00380A86">
            <w:pPr>
              <w:pStyle w:val="Default"/>
              <w:rPr>
                <w:sz w:val="20"/>
                <w:szCs w:val="20"/>
              </w:rPr>
            </w:pPr>
            <w:r w:rsidRPr="00352111">
              <w:rPr>
                <w:sz w:val="20"/>
                <w:szCs w:val="20"/>
              </w:rPr>
              <w:t>1.1</w:t>
            </w:r>
          </w:p>
        </w:tc>
        <w:tc>
          <w:tcPr>
            <w:tcW w:w="795" w:type="pct"/>
          </w:tcPr>
          <w:p w:rsidR="005C73E1" w:rsidRPr="00352111" w:rsidRDefault="005C73E1" w:rsidP="00380A86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5C73E1" w:rsidRPr="00352111" w:rsidRDefault="005C73E1" w:rsidP="00380A86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20" w:type="pct"/>
          </w:tcPr>
          <w:p w:rsidR="005C73E1" w:rsidRPr="00352111" w:rsidRDefault="005C73E1" w:rsidP="00380A86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5C73E1" w:rsidRPr="00352111" w:rsidRDefault="005C73E1" w:rsidP="00380A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5C73E1" w:rsidRPr="00352111" w:rsidRDefault="005C73E1" w:rsidP="00380A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" w:type="pct"/>
          </w:tcPr>
          <w:p w:rsidR="005C73E1" w:rsidRPr="00352111" w:rsidRDefault="005C73E1" w:rsidP="00380A86">
            <w:pPr>
              <w:pStyle w:val="Default"/>
              <w:rPr>
                <w:sz w:val="20"/>
                <w:szCs w:val="20"/>
              </w:rPr>
            </w:pPr>
          </w:p>
        </w:tc>
      </w:tr>
      <w:tr w:rsidR="005C73E1" w:rsidRPr="00352111" w:rsidTr="005C73E1">
        <w:tc>
          <w:tcPr>
            <w:tcW w:w="802" w:type="pct"/>
          </w:tcPr>
          <w:p w:rsidR="005C73E1" w:rsidRPr="00352111" w:rsidRDefault="005C73E1" w:rsidP="00380A86">
            <w:pPr>
              <w:rPr>
                <w:sz w:val="20"/>
                <w:szCs w:val="20"/>
              </w:rPr>
            </w:pPr>
            <w:r w:rsidRPr="00352111">
              <w:rPr>
                <w:sz w:val="20"/>
                <w:szCs w:val="20"/>
              </w:rPr>
              <w:t>1.2</w:t>
            </w:r>
          </w:p>
        </w:tc>
        <w:tc>
          <w:tcPr>
            <w:tcW w:w="795" w:type="pct"/>
          </w:tcPr>
          <w:p w:rsidR="005C73E1" w:rsidRPr="00352111" w:rsidRDefault="005C73E1" w:rsidP="00380A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5C73E1" w:rsidRPr="00352111" w:rsidRDefault="005C73E1" w:rsidP="00380A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20" w:type="pct"/>
          </w:tcPr>
          <w:p w:rsidR="005C73E1" w:rsidRPr="00352111" w:rsidRDefault="005C73E1" w:rsidP="00380A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5C73E1" w:rsidRPr="00352111" w:rsidRDefault="005C73E1" w:rsidP="00380A8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5C73E1" w:rsidRPr="00352111" w:rsidRDefault="005C73E1" w:rsidP="00380A86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</w:tcPr>
          <w:p w:rsidR="005C73E1" w:rsidRPr="00352111" w:rsidRDefault="005C73E1" w:rsidP="00380A86">
            <w:pPr>
              <w:rPr>
                <w:sz w:val="20"/>
                <w:szCs w:val="20"/>
              </w:rPr>
            </w:pPr>
          </w:p>
        </w:tc>
      </w:tr>
      <w:tr w:rsidR="005C73E1" w:rsidRPr="00352111" w:rsidTr="005C73E1">
        <w:tc>
          <w:tcPr>
            <w:tcW w:w="802" w:type="pct"/>
          </w:tcPr>
          <w:p w:rsidR="005C73E1" w:rsidRPr="00352111" w:rsidRDefault="005C73E1" w:rsidP="00380A86">
            <w:pPr>
              <w:rPr>
                <w:sz w:val="20"/>
                <w:szCs w:val="20"/>
              </w:rPr>
            </w:pPr>
            <w:r w:rsidRPr="00352111">
              <w:rPr>
                <w:sz w:val="20"/>
                <w:szCs w:val="20"/>
              </w:rPr>
              <w:t>1.3</w:t>
            </w:r>
          </w:p>
        </w:tc>
        <w:tc>
          <w:tcPr>
            <w:tcW w:w="795" w:type="pct"/>
          </w:tcPr>
          <w:p w:rsidR="005C73E1" w:rsidRPr="00352111" w:rsidRDefault="005C73E1" w:rsidP="00380A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55" w:type="pct"/>
          </w:tcPr>
          <w:p w:rsidR="005C73E1" w:rsidRPr="00352111" w:rsidRDefault="005C73E1" w:rsidP="00380A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20" w:type="pct"/>
          </w:tcPr>
          <w:p w:rsidR="005C73E1" w:rsidRPr="00352111" w:rsidRDefault="005C73E1" w:rsidP="00380A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5C73E1" w:rsidRPr="00352111" w:rsidRDefault="005C73E1" w:rsidP="00380A86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5C73E1" w:rsidRPr="00352111" w:rsidRDefault="005C73E1" w:rsidP="00380A86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</w:tcPr>
          <w:p w:rsidR="005C73E1" w:rsidRPr="00352111" w:rsidRDefault="005C73E1" w:rsidP="00380A86">
            <w:pPr>
              <w:rPr>
                <w:sz w:val="20"/>
                <w:szCs w:val="20"/>
              </w:rPr>
            </w:pPr>
          </w:p>
        </w:tc>
      </w:tr>
    </w:tbl>
    <w:p w:rsidR="00DA4F60" w:rsidRDefault="00DA4F60" w:rsidP="00380A86"/>
    <w:sectPr w:rsidR="00DA4F60" w:rsidSect="00EF5260">
      <w:pgSz w:w="15840" w:h="12240" w:orient="landscape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C30D7"/>
    <w:multiLevelType w:val="hybridMultilevel"/>
    <w:tmpl w:val="BFFC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B2DE9"/>
    <w:multiLevelType w:val="hybridMultilevel"/>
    <w:tmpl w:val="15B2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5A"/>
    <w:rsid w:val="001E3517"/>
    <w:rsid w:val="0030442B"/>
    <w:rsid w:val="0032035C"/>
    <w:rsid w:val="00352111"/>
    <w:rsid w:val="00380A86"/>
    <w:rsid w:val="0044119C"/>
    <w:rsid w:val="004C58EE"/>
    <w:rsid w:val="004E4B82"/>
    <w:rsid w:val="0052015A"/>
    <w:rsid w:val="005C73E1"/>
    <w:rsid w:val="005D03E0"/>
    <w:rsid w:val="00665D8D"/>
    <w:rsid w:val="00681951"/>
    <w:rsid w:val="006D01B5"/>
    <w:rsid w:val="008070CB"/>
    <w:rsid w:val="00925FEE"/>
    <w:rsid w:val="00B44CFC"/>
    <w:rsid w:val="00B55048"/>
    <w:rsid w:val="00C45264"/>
    <w:rsid w:val="00C83A44"/>
    <w:rsid w:val="00D335FD"/>
    <w:rsid w:val="00DA4F60"/>
    <w:rsid w:val="00DF3BD5"/>
    <w:rsid w:val="00E03D7E"/>
    <w:rsid w:val="00E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01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A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5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D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D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01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A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5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D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D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98F0B2DA9654AB466AD9256FEC5F0" ma:contentTypeVersion="2" ma:contentTypeDescription="Create a new document." ma:contentTypeScope="" ma:versionID="d05c4394b664d01b12b24eb0761647e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2143f4d21603ca1640c334198ad6f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4F1AAF-050F-4382-B189-47CA148AA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41EAA9E-61B1-4831-BBA5-9CB87DEDFAEC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A990F55-1D3E-4891-B8BC-84F522CA4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Implementation Plan of Action - Template</vt:lpstr>
    </vt:vector>
  </TitlesOfParts>
  <Company>Deloitte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Implementation Plan of Action - Template</dc:title>
  <dc:creator>Lukic, Natasa</dc:creator>
  <cp:lastModifiedBy>Shelton, Michael</cp:lastModifiedBy>
  <cp:revision>2</cp:revision>
  <dcterms:created xsi:type="dcterms:W3CDTF">2015-06-05T20:06:00Z</dcterms:created>
  <dcterms:modified xsi:type="dcterms:W3CDTF">2015-06-05T20:06:00Z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0x01010013E98F0B2DA9654AB466AD9256FEC5F0</vt:lpwstr>
  </property>
</Properties>
</file>